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4B" w:rsidRDefault="0065754B" w:rsidP="0065754B">
      <w:pPr>
        <w:pStyle w:val="ab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Башкирский государственный университет</w:t>
      </w:r>
      <w:r>
        <w:rPr>
          <w:b/>
          <w:bCs/>
          <w:color w:val="000000"/>
          <w:sz w:val="27"/>
          <w:szCs w:val="27"/>
        </w:rPr>
        <w:br/>
        <w:t>Факультет философии и социологии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Башкирское отделение</w:t>
      </w:r>
      <w:r>
        <w:rPr>
          <w:b/>
          <w:bCs/>
          <w:color w:val="000000"/>
          <w:sz w:val="27"/>
          <w:szCs w:val="27"/>
        </w:rPr>
        <w:br/>
        <w:t>Российского философского общества</w:t>
      </w:r>
    </w:p>
    <w:p w:rsidR="0065754B" w:rsidRDefault="0065754B" w:rsidP="0065754B">
      <w:pPr>
        <w:pStyle w:val="ab"/>
        <w:spacing w:before="300" w:beforeAutospacing="0" w:after="27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 декабря 2020 года</w:t>
      </w:r>
      <w:r>
        <w:rPr>
          <w:b/>
          <w:bCs/>
          <w:color w:val="000000"/>
          <w:sz w:val="27"/>
          <w:szCs w:val="27"/>
        </w:rPr>
        <w:br/>
        <w:t>г. Уфа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10 декабря 2020 года в г. Уфе на факультете философии и социологии Башкирского государственного университета состоится Всероссийская научно-практическая конференция с международным участием «Философия инноваций и социология будущего в пространстве культуры: научный диалог</w:t>
      </w:r>
      <w:bookmarkStart w:id="0" w:name="_Hlk3155257"/>
      <w:r>
        <w:rPr>
          <w:color w:val="000000"/>
          <w:sz w:val="26"/>
          <w:szCs w:val="26"/>
        </w:rPr>
        <w:t>», посвященная 20-летнему юбилею факультета.</w:t>
      </w:r>
      <w:bookmarkEnd w:id="0"/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Основные направления работы конференции: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Инновационные методы и формы преподавания гуманитарных дисциплин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Взаимосвязь научных революций и инноваций в контексте философии науки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- Горизонты инновационных технологий XXI века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Философия инновационного образования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Инновация как социокультурный феномен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Философия искусственного интеллекта 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Социальные проблемы инновационного развития общества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Социальный механизм управленческих инноваций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  <w:shd w:val="clear" w:color="auto" w:fill="FFFFFF"/>
        </w:rPr>
        <w:t>- Диалог культур как будущее человеческой цивилизации 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Этические аспекты инноваций</w:t>
      </w:r>
    </w:p>
    <w:p w:rsidR="0065754B" w:rsidRDefault="0065754B" w:rsidP="0065754B">
      <w:pPr>
        <w:pStyle w:val="ab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 </w:t>
      </w:r>
      <w:r>
        <w:rPr>
          <w:color w:val="000000"/>
          <w:sz w:val="26"/>
          <w:szCs w:val="26"/>
          <w:lang w:val="en-US"/>
        </w:rPr>
        <w:t>PR</w:t>
      </w:r>
      <w:r>
        <w:rPr>
          <w:color w:val="000000"/>
          <w:sz w:val="26"/>
          <w:szCs w:val="26"/>
        </w:rPr>
        <w:t>-технологии в продвижении инноваций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Традиции и инновационная деятельность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Футурология и амбивалентность личности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Моральные дилеммы будущего и настоящего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Пластичность политической системы в обществе эпохи постмодерна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Участие в конференции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Заявки и статьи просим отправлять на адрес электронной почты:  </w:t>
      </w:r>
      <w:hyperlink r:id="rId6" w:history="1">
        <w:r>
          <w:rPr>
            <w:rStyle w:val="a7"/>
            <w:sz w:val="26"/>
            <w:szCs w:val="26"/>
            <w:shd w:val="clear" w:color="auto" w:fill="FFFFFF"/>
            <w:lang w:val="en-US"/>
          </w:rPr>
          <w:t>philosof</w:t>
        </w:r>
        <w:r>
          <w:rPr>
            <w:rStyle w:val="a7"/>
            <w:sz w:val="26"/>
            <w:szCs w:val="26"/>
            <w:shd w:val="clear" w:color="auto" w:fill="FFFFFF"/>
          </w:rPr>
          <w:t>02@</w:t>
        </w:r>
        <w:r>
          <w:rPr>
            <w:rStyle w:val="a7"/>
            <w:sz w:val="26"/>
            <w:szCs w:val="26"/>
            <w:shd w:val="clear" w:color="auto" w:fill="FFFFFF"/>
            <w:lang w:val="en-US"/>
          </w:rPr>
          <w:t>mail</w:t>
        </w:r>
        <w:r>
          <w:rPr>
            <w:rStyle w:val="a7"/>
            <w:sz w:val="26"/>
            <w:szCs w:val="26"/>
            <w:shd w:val="clear" w:color="auto" w:fill="FFFFFF"/>
          </w:rPr>
          <w:t>.</w:t>
        </w:r>
        <w:r>
          <w:rPr>
            <w:rStyle w:val="a7"/>
            <w:sz w:val="26"/>
            <w:szCs w:val="26"/>
            <w:shd w:val="clear" w:color="auto" w:fill="FFFFFF"/>
            <w:lang w:val="en-US"/>
          </w:rPr>
          <w:t>ru</w:t>
        </w:r>
      </w:hyperlink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t>с темой письма «Философия инноваций  и социология  будущего в пространстве культуры: научный диалог».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Срок приема заявок и статей - до </w:t>
      </w:r>
      <w:r>
        <w:rPr>
          <w:b/>
          <w:bCs/>
          <w:color w:val="000000"/>
          <w:sz w:val="26"/>
          <w:szCs w:val="26"/>
        </w:rPr>
        <w:t>1 декабря 2020 года.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По результатам конференции планируется издание сборника материалов с присвоением номера ISBN. Сборник будет размещен в Научной электронной библиотеке </w:t>
      </w:r>
      <w:proofErr w:type="spellStart"/>
      <w:r>
        <w:rPr>
          <w:color w:val="000000"/>
          <w:sz w:val="26"/>
          <w:szCs w:val="26"/>
        </w:rPr>
        <w:t>eLIBRARY</w:t>
      </w:r>
      <w:proofErr w:type="spellEnd"/>
      <w:r>
        <w:rPr>
          <w:color w:val="000000"/>
          <w:sz w:val="26"/>
          <w:szCs w:val="26"/>
        </w:rPr>
        <w:t xml:space="preserve"> на платформе РИНЦ. </w:t>
      </w:r>
      <w:r>
        <w:rPr>
          <w:b/>
          <w:bCs/>
          <w:i/>
          <w:iCs/>
          <w:color w:val="000000"/>
          <w:sz w:val="26"/>
          <w:szCs w:val="26"/>
        </w:rPr>
        <w:t>Участие и публикация статей – бесплатно.</w:t>
      </w:r>
    </w:p>
    <w:p w:rsidR="0065754B" w:rsidRDefault="0065754B" w:rsidP="0065754B">
      <w:pPr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6"/>
          <w:szCs w:val="26"/>
        </w:rPr>
        <w:t> </w:t>
      </w:r>
    </w:p>
    <w:p w:rsidR="0065754B" w:rsidRDefault="0065754B" w:rsidP="0065754B">
      <w:pPr>
        <w:pStyle w:val="ab"/>
        <w:shd w:val="clear" w:color="auto" w:fill="FFFFFF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Координаторы конференции</w:t>
      </w:r>
    </w:p>
    <w:p w:rsidR="0065754B" w:rsidRDefault="0065754B" w:rsidP="0065754B">
      <w:pPr>
        <w:pStyle w:val="ab"/>
        <w:shd w:val="clear" w:color="auto" w:fill="FFFFFF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6"/>
          <w:szCs w:val="26"/>
        </w:rPr>
        <w:t>Абрарова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Зинира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Фоатовна</w:t>
      </w:r>
      <w:proofErr w:type="spellEnd"/>
      <w:r>
        <w:rPr>
          <w:color w:val="000000"/>
          <w:sz w:val="26"/>
          <w:szCs w:val="26"/>
        </w:rPr>
        <w:t>, кандидат философских наук, доцент, заместитель декана факультета философии и социологии по научной работе, </w:t>
      </w:r>
      <w:r>
        <w:rPr>
          <w:color w:val="000000"/>
          <w:sz w:val="26"/>
          <w:szCs w:val="26"/>
          <w:shd w:val="clear" w:color="auto" w:fill="FFFFFF"/>
          <w:lang w:val="en-US"/>
        </w:rPr>
        <w:t>e</w:t>
      </w:r>
      <w:r>
        <w:rPr>
          <w:color w:val="000000"/>
          <w:sz w:val="26"/>
          <w:szCs w:val="26"/>
          <w:shd w:val="clear" w:color="auto" w:fill="FFFFFF"/>
        </w:rPr>
        <w:t>-</w:t>
      </w:r>
      <w:r>
        <w:rPr>
          <w:color w:val="000000"/>
          <w:sz w:val="26"/>
          <w:szCs w:val="26"/>
          <w:shd w:val="clear" w:color="auto" w:fill="FFFFFF"/>
          <w:lang w:val="en-US"/>
        </w:rPr>
        <w:t>mail</w:t>
      </w:r>
      <w:r>
        <w:rPr>
          <w:color w:val="000000"/>
          <w:sz w:val="26"/>
          <w:szCs w:val="26"/>
          <w:shd w:val="clear" w:color="auto" w:fill="FFFFFF"/>
        </w:rPr>
        <w:t>: 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abrarova</w:t>
      </w:r>
      <w:proofErr w:type="spellEnd"/>
      <w:r>
        <w:rPr>
          <w:color w:val="000000"/>
          <w:sz w:val="26"/>
          <w:szCs w:val="26"/>
          <w:shd w:val="clear" w:color="auto" w:fill="FFFFFF"/>
        </w:rPr>
        <w:t>72@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bk</w:t>
      </w:r>
      <w:proofErr w:type="spellEnd"/>
      <w:r>
        <w:rPr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color w:val="000000"/>
          <w:sz w:val="26"/>
          <w:szCs w:val="26"/>
          <w:shd w:val="clear" w:color="auto" w:fill="FFFFFF"/>
        </w:rPr>
        <w:t>;</w:t>
      </w:r>
    </w:p>
    <w:p w:rsidR="0065754B" w:rsidRDefault="0065754B" w:rsidP="0065754B">
      <w:pPr>
        <w:pStyle w:val="ab"/>
        <w:shd w:val="clear" w:color="auto" w:fill="FFFFFF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6"/>
          <w:szCs w:val="26"/>
        </w:rPr>
        <w:t>Багаутдинов</w:t>
      </w:r>
      <w:proofErr w:type="spellEnd"/>
      <w:r>
        <w:rPr>
          <w:color w:val="000000"/>
          <w:sz w:val="26"/>
          <w:szCs w:val="26"/>
        </w:rPr>
        <w:t xml:space="preserve"> Айрат Маратович</w:t>
      </w:r>
      <w:r>
        <w:rPr>
          <w:color w:val="000000"/>
          <w:sz w:val="26"/>
          <w:szCs w:val="26"/>
          <w:shd w:val="clear" w:color="auto" w:fill="FFFFFF"/>
        </w:rPr>
        <w:t>, кандидат философских наук, доцент, ученый секретарь Башкирского Отделения РФО -</w:t>
      </w:r>
      <w:r>
        <w:rPr>
          <w:color w:val="000000"/>
          <w:sz w:val="26"/>
          <w:szCs w:val="26"/>
          <w:shd w:val="clear" w:color="auto" w:fill="FFFFFF"/>
          <w:lang w:val="en-US"/>
        </w:rPr>
        <w:t>e</w:t>
      </w:r>
      <w:r>
        <w:rPr>
          <w:color w:val="000000"/>
          <w:sz w:val="26"/>
          <w:szCs w:val="26"/>
          <w:shd w:val="clear" w:color="auto" w:fill="FFFFFF"/>
        </w:rPr>
        <w:t>-</w:t>
      </w:r>
      <w:r>
        <w:rPr>
          <w:color w:val="000000"/>
          <w:sz w:val="26"/>
          <w:szCs w:val="26"/>
          <w:shd w:val="clear" w:color="auto" w:fill="FFFFFF"/>
          <w:lang w:val="en-US"/>
        </w:rPr>
        <w:t>mail</w:t>
      </w:r>
      <w:r>
        <w:rPr>
          <w:color w:val="000000"/>
          <w:sz w:val="26"/>
          <w:szCs w:val="26"/>
          <w:shd w:val="clear" w:color="auto" w:fill="FFFFFF"/>
        </w:rPr>
        <w:t>: 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philosof</w:t>
      </w:r>
      <w:proofErr w:type="spellEnd"/>
      <w:r>
        <w:rPr>
          <w:color w:val="000000"/>
          <w:sz w:val="26"/>
          <w:szCs w:val="26"/>
          <w:shd w:val="clear" w:color="auto" w:fill="FFFFFF"/>
        </w:rPr>
        <w:t>02@</w:t>
      </w:r>
      <w:r>
        <w:rPr>
          <w:color w:val="000000"/>
          <w:sz w:val="26"/>
          <w:szCs w:val="26"/>
          <w:shd w:val="clear" w:color="auto" w:fill="FFFFFF"/>
          <w:lang w:val="en-US"/>
        </w:rPr>
        <w:t>mail</w:t>
      </w:r>
      <w:r>
        <w:rPr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65754B" w:rsidRDefault="0065754B" w:rsidP="0065754B">
      <w:pPr>
        <w:pStyle w:val="ab"/>
        <w:shd w:val="clear" w:color="auto" w:fill="FFFFFF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Адрес: 450076, г. Уфа, ул. Карла Маркса, д. 3/4, Гуманитарный корпус </w:t>
      </w:r>
      <w:proofErr w:type="spellStart"/>
      <w:r>
        <w:rPr>
          <w:color w:val="000000"/>
          <w:sz w:val="26"/>
          <w:szCs w:val="26"/>
        </w:rPr>
        <w:t>БашГУ</w:t>
      </w:r>
      <w:proofErr w:type="spellEnd"/>
      <w:r>
        <w:rPr>
          <w:color w:val="000000"/>
          <w:sz w:val="26"/>
          <w:szCs w:val="26"/>
        </w:rPr>
        <w:t>, 3 этаж, ком. 304.</w:t>
      </w:r>
    </w:p>
    <w:p w:rsidR="0065754B" w:rsidRDefault="0065754B" w:rsidP="0065754B">
      <w:pPr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</w:t>
      </w:r>
    </w:p>
    <w:p w:rsidR="0065754B" w:rsidRDefault="0065754B">
      <w:pPr>
        <w:spacing w:after="200"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lastRenderedPageBreak/>
        <w:t>Требования к оформлению статей в сборник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Оформление текста статьи:</w:t>
      </w:r>
      <w:r>
        <w:rPr>
          <w:color w:val="000000"/>
          <w:sz w:val="26"/>
          <w:szCs w:val="26"/>
        </w:rPr>
        <w:t> объем статьи – не более 8 страниц; </w:t>
      </w:r>
      <w:r>
        <w:rPr>
          <w:color w:val="000000"/>
          <w:spacing w:val="-4"/>
          <w:sz w:val="26"/>
          <w:szCs w:val="26"/>
        </w:rPr>
        <w:t>параметры страниц</w:t>
      </w:r>
      <w:proofErr w:type="gramStart"/>
      <w:r>
        <w:rPr>
          <w:color w:val="000000"/>
          <w:spacing w:val="-4"/>
          <w:sz w:val="26"/>
          <w:szCs w:val="26"/>
        </w:rPr>
        <w:t>ы</w:t>
      </w:r>
      <w:r>
        <w:rPr>
          <w:color w:val="000000"/>
          <w:sz w:val="26"/>
          <w:szCs w:val="26"/>
        </w:rPr>
        <w:t>–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pacing w:val="-4"/>
          <w:sz w:val="26"/>
          <w:szCs w:val="26"/>
        </w:rPr>
        <w:t>формат А4, ориентация – книжная; </w:t>
      </w:r>
      <w:r>
        <w:rPr>
          <w:color w:val="000000"/>
          <w:sz w:val="26"/>
          <w:szCs w:val="26"/>
        </w:rPr>
        <w:t xml:space="preserve">везде используется шрифт </w:t>
      </w:r>
      <w:proofErr w:type="spellStart"/>
      <w:r>
        <w:rPr>
          <w:color w:val="000000"/>
          <w:sz w:val="26"/>
          <w:szCs w:val="26"/>
        </w:rPr>
        <w:t>Times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New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Roman</w:t>
      </w:r>
      <w:proofErr w:type="spellEnd"/>
      <w:r>
        <w:rPr>
          <w:color w:val="000000"/>
          <w:sz w:val="26"/>
          <w:szCs w:val="26"/>
        </w:rPr>
        <w:t>, размер шрифта – 14pt, междустрочный интервал – 1, все поля – 2 см, абзацный отступ 1,25 см, выравнивание по ширине, без автоматической расстановки переносов; указание УДК обязательно; после УДК следует ФИО автора (авторов) с указанием названия организации – места работы, должности, ученой степени, звания, далее дается название статьи с большой буквы строчными буквами, выравнивание по центру, между названием статьи и текстом – пустая строка. Далее дается аннотация объемом – не более 500 знаков и 5-7 ключевых слова. ФИО и данные об авторе (авторах), название статьи, аннотация и ключевые слова даются на русском и английском языках. </w:t>
      </w:r>
      <w:r>
        <w:rPr>
          <w:i/>
          <w:iCs/>
          <w:color w:val="000000"/>
          <w:sz w:val="26"/>
          <w:szCs w:val="26"/>
        </w:rPr>
        <w:t>Смотрите пример оформления статьи.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Оформление сносок:</w:t>
      </w:r>
      <w:r>
        <w:rPr>
          <w:color w:val="000000"/>
          <w:sz w:val="26"/>
          <w:szCs w:val="26"/>
        </w:rPr>
        <w:t> сноски на источники в тексте даются в квадратных скобках, где первая цифра означает номер цитируемой работы из списка литературы, вторая – номер (номера) страниц  [3, с. 255-256].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Оформление списка литературы:</w:t>
      </w:r>
      <w:r>
        <w:rPr>
          <w:color w:val="000000"/>
          <w:sz w:val="26"/>
          <w:szCs w:val="26"/>
        </w:rPr>
        <w:t xml:space="preserve"> список литературы приводится в конце текста в алфавитном порядке, в него включаются только источники, на которые в тексте статьи есть ссылки; сначала указываются русскоязычные источники, затем иностранная литература. Шрифт </w:t>
      </w:r>
      <w:proofErr w:type="spellStart"/>
      <w:r>
        <w:rPr>
          <w:color w:val="000000"/>
          <w:sz w:val="26"/>
          <w:szCs w:val="26"/>
        </w:rPr>
        <w:t>Times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New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Roman</w:t>
      </w:r>
      <w:proofErr w:type="spellEnd"/>
      <w:r>
        <w:rPr>
          <w:color w:val="000000"/>
          <w:sz w:val="26"/>
          <w:szCs w:val="26"/>
        </w:rPr>
        <w:t xml:space="preserve"> 14pt через 1,0 интервал, без переносов, выравнивание по ширине. Автоматическая нумерация </w:t>
      </w:r>
      <w:r>
        <w:rPr>
          <w:color w:val="000000"/>
          <w:sz w:val="26"/>
          <w:szCs w:val="26"/>
          <w:u w:val="single"/>
        </w:rPr>
        <w:t>не допускается</w:t>
      </w:r>
      <w:r>
        <w:rPr>
          <w:color w:val="000000"/>
          <w:sz w:val="26"/>
          <w:szCs w:val="26"/>
        </w:rPr>
        <w:t>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Оформление таблиц и рисунков:</w:t>
      </w:r>
      <w:r>
        <w:rPr>
          <w:color w:val="000000"/>
          <w:sz w:val="26"/>
          <w:szCs w:val="26"/>
        </w:rPr>
        <w:t> название и номер таблицы указываются над таблицей, выравниваются по центру; название таблицы и текст в таблице оформляются шрифтом </w:t>
      </w:r>
      <w:proofErr w:type="spellStart"/>
      <w:r>
        <w:rPr>
          <w:color w:val="000000"/>
          <w:sz w:val="26"/>
          <w:szCs w:val="26"/>
          <w:lang w:val="en-US"/>
        </w:rPr>
        <w:t>TimeNewRoman</w:t>
      </w:r>
      <w:proofErr w:type="spellEnd"/>
      <w:r>
        <w:rPr>
          <w:color w:val="000000"/>
          <w:sz w:val="26"/>
          <w:szCs w:val="26"/>
        </w:rPr>
        <w:t> 12</w:t>
      </w:r>
      <w:proofErr w:type="spellStart"/>
      <w:r>
        <w:rPr>
          <w:color w:val="000000"/>
          <w:sz w:val="26"/>
          <w:szCs w:val="26"/>
          <w:lang w:val="en-US"/>
        </w:rPr>
        <w:t>pt</w:t>
      </w:r>
      <w:proofErr w:type="spellEnd"/>
      <w:r>
        <w:rPr>
          <w:color w:val="000000"/>
          <w:sz w:val="26"/>
          <w:szCs w:val="26"/>
        </w:rPr>
        <w:t> (возможно 10</w:t>
      </w:r>
      <w:proofErr w:type="spellStart"/>
      <w:r>
        <w:rPr>
          <w:color w:val="000000"/>
          <w:sz w:val="26"/>
          <w:szCs w:val="26"/>
          <w:lang w:val="en-US"/>
        </w:rPr>
        <w:t>pt</w:t>
      </w:r>
      <w:proofErr w:type="spellEnd"/>
      <w:r>
        <w:rPr>
          <w:color w:val="000000"/>
          <w:sz w:val="26"/>
          <w:szCs w:val="26"/>
        </w:rPr>
        <w:t>), полужирным, без переносов, выравнивание в заголовках – по левому краю; в ячейках – по центру или ширине. При разрыве таблицы на следующей странице указывается «</w:t>
      </w:r>
      <w:r>
        <w:rPr>
          <w:i/>
          <w:iCs/>
          <w:color w:val="000000"/>
          <w:sz w:val="26"/>
          <w:szCs w:val="26"/>
        </w:rPr>
        <w:t>Продолжение таблицы</w:t>
      </w:r>
      <w:r>
        <w:rPr>
          <w:color w:val="000000"/>
          <w:sz w:val="26"/>
          <w:szCs w:val="26"/>
        </w:rPr>
        <w:t>» или «</w:t>
      </w:r>
      <w:r>
        <w:rPr>
          <w:i/>
          <w:iCs/>
          <w:color w:val="000000"/>
          <w:sz w:val="26"/>
          <w:szCs w:val="26"/>
        </w:rPr>
        <w:t>Окончание таблицы</w:t>
      </w:r>
      <w:r>
        <w:rPr>
          <w:color w:val="000000"/>
          <w:sz w:val="26"/>
          <w:szCs w:val="26"/>
        </w:rPr>
        <w:t>», номер. Шрифт </w:t>
      </w:r>
      <w:proofErr w:type="spellStart"/>
      <w:r>
        <w:rPr>
          <w:color w:val="000000"/>
          <w:sz w:val="26"/>
          <w:szCs w:val="26"/>
          <w:lang w:val="en-US"/>
        </w:rPr>
        <w:t>TimesNewRoman</w:t>
      </w:r>
      <w:proofErr w:type="spellEnd"/>
      <w:r>
        <w:rPr>
          <w:color w:val="000000"/>
          <w:sz w:val="26"/>
          <w:szCs w:val="26"/>
        </w:rPr>
        <w:t> 12</w:t>
      </w:r>
      <w:proofErr w:type="spellStart"/>
      <w:r>
        <w:rPr>
          <w:color w:val="000000"/>
          <w:sz w:val="26"/>
          <w:szCs w:val="26"/>
          <w:lang w:val="en-US"/>
        </w:rPr>
        <w:t>pt</w:t>
      </w:r>
      <w:proofErr w:type="spellEnd"/>
      <w:r>
        <w:rPr>
          <w:color w:val="000000"/>
          <w:sz w:val="26"/>
          <w:szCs w:val="26"/>
        </w:rPr>
        <w:t>, без переносов, курсив, выравнивание по правому краю. Под таблицей желательно указать источник данных.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Рисунки делаются </w:t>
      </w:r>
      <w:r>
        <w:rPr>
          <w:color w:val="000000"/>
          <w:sz w:val="26"/>
          <w:szCs w:val="26"/>
          <w:u w:val="single"/>
        </w:rPr>
        <w:t>в черно-белом формате</w:t>
      </w:r>
      <w:r>
        <w:rPr>
          <w:color w:val="000000"/>
          <w:sz w:val="26"/>
          <w:szCs w:val="26"/>
        </w:rPr>
        <w:t>. Название и номер рисунка указываются под ним. В названии рисунка указывается слово «Рис.», далее номер и название рисунка. Шрифт </w:t>
      </w:r>
      <w:proofErr w:type="spellStart"/>
      <w:r>
        <w:rPr>
          <w:color w:val="000000"/>
          <w:sz w:val="26"/>
          <w:szCs w:val="26"/>
          <w:lang w:val="en-US"/>
        </w:rPr>
        <w:t>TimesNewRoman</w:t>
      </w:r>
      <w:proofErr w:type="spellEnd"/>
      <w:r>
        <w:rPr>
          <w:color w:val="000000"/>
          <w:sz w:val="26"/>
          <w:szCs w:val="26"/>
        </w:rPr>
        <w:t> 12</w:t>
      </w:r>
      <w:proofErr w:type="spellStart"/>
      <w:r>
        <w:rPr>
          <w:color w:val="000000"/>
          <w:sz w:val="26"/>
          <w:szCs w:val="26"/>
          <w:lang w:val="en-US"/>
        </w:rPr>
        <w:t>pt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полужирным</w:t>
      </w:r>
      <w:proofErr w:type="gramEnd"/>
      <w:r>
        <w:rPr>
          <w:color w:val="000000"/>
          <w:sz w:val="26"/>
          <w:szCs w:val="26"/>
        </w:rPr>
        <w:t>, без переносов, выравнивание по центру. </w:t>
      </w:r>
      <w:r>
        <w:rPr>
          <w:i/>
          <w:iCs/>
          <w:color w:val="000000"/>
          <w:sz w:val="26"/>
          <w:szCs w:val="26"/>
        </w:rPr>
        <w:t>Смотрите примеры оформления таблицы и рисунка.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65754B" w:rsidRDefault="0065754B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bookmarkStart w:id="1" w:name="_GoBack"/>
      <w:bookmarkEnd w:id="1"/>
      <w:r>
        <w:rPr>
          <w:color w:val="000000"/>
          <w:sz w:val="26"/>
          <w:szCs w:val="26"/>
        </w:rPr>
        <w:lastRenderedPageBreak/>
        <w:t>НЕПРАВИЛЬНОЕ ОФОРМЛЕНИЕ МАТЕРИАЛОВ МОЖЕТ СТАТЬ ПРИЧИНОЙ ОТКАЗА В ПУБЛИКАЦИИ!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 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Пример оформления статьи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УДК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Иванов И. И.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кандидат философских наук,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доцент кафедры социологии и работы с молодежью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Башкирского государственного университета 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(г. Уфа, Россия)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Данные переписей населения России о домохозяйствах, состоящих из лиц разных национальностей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[пустая строка]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Аннотация:</w:t>
      </w:r>
      <w:r>
        <w:rPr>
          <w:color w:val="000000"/>
          <w:sz w:val="26"/>
          <w:szCs w:val="26"/>
        </w:rPr>
        <w:t> В статье рассматриваются данные Всероссийских переписей населения 2002 и 2010 годов о домохозяйствах, состоящих из двух и более лиц, в которых члены домохозяйства указали разные национальности. Описываются особенности статистического учета межнациональных семей.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Ключевые слова</w:t>
      </w:r>
      <w:r>
        <w:rPr>
          <w:color w:val="000000"/>
          <w:sz w:val="26"/>
          <w:szCs w:val="26"/>
        </w:rPr>
        <w:t>: домохозяйства, переписи населения, национальность, межнациональная семья</w:t>
      </w:r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6"/>
          <w:szCs w:val="26"/>
          <w:lang w:val="en-US"/>
        </w:rPr>
        <w:t>[</w:t>
      </w:r>
      <w:proofErr w:type="gramStart"/>
      <w:r>
        <w:rPr>
          <w:color w:val="000000"/>
          <w:sz w:val="26"/>
          <w:szCs w:val="26"/>
        </w:rPr>
        <w:t>пустая</w:t>
      </w:r>
      <w:proofErr w:type="gramEnd"/>
      <w:r w:rsidRPr="0065754B"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строка</w:t>
      </w:r>
      <w:r>
        <w:rPr>
          <w:color w:val="000000"/>
          <w:sz w:val="26"/>
          <w:szCs w:val="26"/>
          <w:lang w:val="en-US"/>
        </w:rPr>
        <w:t>]</w:t>
      </w:r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  <w:lang w:val="en-US"/>
        </w:rPr>
      </w:pPr>
      <w:r>
        <w:rPr>
          <w:color w:val="000000"/>
          <w:sz w:val="26"/>
          <w:szCs w:val="26"/>
          <w:lang w:val="en-US"/>
        </w:rPr>
        <w:t xml:space="preserve">I. </w:t>
      </w:r>
      <w:proofErr w:type="spellStart"/>
      <w:r>
        <w:rPr>
          <w:color w:val="000000"/>
          <w:sz w:val="26"/>
          <w:szCs w:val="26"/>
          <w:lang w:val="en-US"/>
        </w:rPr>
        <w:t>Ivanov</w:t>
      </w:r>
      <w:proofErr w:type="spellEnd"/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6"/>
          <w:szCs w:val="26"/>
          <w:lang w:val="en-US"/>
        </w:rPr>
        <w:t>associate</w:t>
      </w:r>
      <w:proofErr w:type="gramEnd"/>
      <w:r>
        <w:rPr>
          <w:color w:val="000000"/>
          <w:sz w:val="26"/>
          <w:szCs w:val="26"/>
          <w:lang w:val="en-US"/>
        </w:rPr>
        <w:t xml:space="preserve"> professor,</w:t>
      </w:r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right"/>
        <w:rPr>
          <w:color w:val="000000"/>
          <w:sz w:val="27"/>
          <w:szCs w:val="27"/>
          <w:lang w:val="en-US"/>
        </w:rPr>
      </w:pPr>
      <w:r>
        <w:rPr>
          <w:color w:val="000000"/>
          <w:sz w:val="26"/>
          <w:szCs w:val="26"/>
          <w:lang w:val="en-US"/>
        </w:rPr>
        <w:t>Bashkir state University, Ufa, Russia</w:t>
      </w:r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6"/>
          <w:szCs w:val="26"/>
          <w:lang w:val="en-US"/>
        </w:rPr>
        <w:t>[</w:t>
      </w:r>
      <w:proofErr w:type="spellStart"/>
      <w:proofErr w:type="gramStart"/>
      <w:r>
        <w:rPr>
          <w:color w:val="000000"/>
          <w:sz w:val="26"/>
          <w:szCs w:val="26"/>
        </w:rPr>
        <w:t>пустаястрока</w:t>
      </w:r>
      <w:proofErr w:type="spellEnd"/>
      <w:proofErr w:type="gramEnd"/>
      <w:r>
        <w:rPr>
          <w:color w:val="000000"/>
          <w:sz w:val="26"/>
          <w:szCs w:val="26"/>
          <w:lang w:val="en-US"/>
        </w:rPr>
        <w:t>]</w:t>
      </w:r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  <w:lang w:val="en-US"/>
        </w:rPr>
      </w:pPr>
      <w:proofErr w:type="spellStart"/>
      <w:r>
        <w:rPr>
          <w:b/>
          <w:bCs/>
          <w:color w:val="000000"/>
          <w:sz w:val="26"/>
          <w:szCs w:val="26"/>
          <w:lang w:val="en-US"/>
        </w:rPr>
        <w:t>Articletitle</w:t>
      </w:r>
      <w:proofErr w:type="spellEnd"/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6"/>
          <w:szCs w:val="26"/>
          <w:lang w:val="en-US"/>
        </w:rPr>
        <w:t>[</w:t>
      </w:r>
      <w:proofErr w:type="spellStart"/>
      <w:proofErr w:type="gramStart"/>
      <w:r>
        <w:rPr>
          <w:color w:val="000000"/>
          <w:sz w:val="26"/>
          <w:szCs w:val="26"/>
        </w:rPr>
        <w:t>пустаястрока</w:t>
      </w:r>
      <w:proofErr w:type="spellEnd"/>
      <w:proofErr w:type="gramEnd"/>
      <w:r>
        <w:rPr>
          <w:color w:val="000000"/>
          <w:sz w:val="26"/>
          <w:szCs w:val="26"/>
          <w:lang w:val="en-US"/>
        </w:rPr>
        <w:t>]</w:t>
      </w:r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  <w:lang w:val="en-US"/>
        </w:rPr>
      </w:pPr>
      <w:proofErr w:type="spellStart"/>
      <w:r>
        <w:rPr>
          <w:b/>
          <w:bCs/>
          <w:color w:val="000000"/>
          <w:sz w:val="26"/>
          <w:szCs w:val="26"/>
          <w:lang w:val="en-US"/>
        </w:rPr>
        <w:t>Abstract</w:t>
      </w:r>
      <w:proofErr w:type="gramStart"/>
      <w:r>
        <w:rPr>
          <w:b/>
          <w:bCs/>
          <w:color w:val="000000"/>
          <w:sz w:val="26"/>
          <w:szCs w:val="26"/>
          <w:lang w:val="en-US"/>
        </w:rPr>
        <w:t>:</w:t>
      </w:r>
      <w:r>
        <w:rPr>
          <w:color w:val="000000"/>
          <w:sz w:val="26"/>
          <w:szCs w:val="26"/>
          <w:lang w:val="en-US"/>
        </w:rPr>
        <w:t>The</w:t>
      </w:r>
      <w:proofErr w:type="spellEnd"/>
      <w:proofErr w:type="gramEnd"/>
      <w:r>
        <w:rPr>
          <w:color w:val="000000"/>
          <w:sz w:val="26"/>
          <w:szCs w:val="26"/>
          <w:lang w:val="en-US"/>
        </w:rPr>
        <w:t xml:space="preserve"> article considers data from the all-Russian population censuses of 2002 and 2010, and data from the 2015 micro-census on households consisting of two or more persons in which household members indicated different nationalities. Features of statistical accounting of interethnic families are described</w:t>
      </w:r>
    </w:p>
    <w:p w:rsidR="0065754B" w:rsidRP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  <w:lang w:val="en-US"/>
        </w:rPr>
      </w:pPr>
      <w:proofErr w:type="spellStart"/>
      <w:r>
        <w:rPr>
          <w:b/>
          <w:bCs/>
          <w:color w:val="000000"/>
          <w:sz w:val="26"/>
          <w:szCs w:val="26"/>
          <w:lang w:val="en-US"/>
        </w:rPr>
        <w:t>Keywords</w:t>
      </w:r>
      <w:proofErr w:type="gramStart"/>
      <w:r>
        <w:rPr>
          <w:b/>
          <w:bCs/>
          <w:color w:val="000000"/>
          <w:sz w:val="26"/>
          <w:szCs w:val="26"/>
          <w:lang w:val="en-US"/>
        </w:rPr>
        <w:t>:</w:t>
      </w:r>
      <w:r>
        <w:rPr>
          <w:color w:val="000000"/>
          <w:sz w:val="26"/>
          <w:szCs w:val="26"/>
          <w:lang w:val="en-US"/>
        </w:rPr>
        <w:t>households</w:t>
      </w:r>
      <w:proofErr w:type="spellEnd"/>
      <w:proofErr w:type="gramEnd"/>
      <w:r>
        <w:rPr>
          <w:color w:val="000000"/>
          <w:sz w:val="26"/>
          <w:szCs w:val="26"/>
          <w:lang w:val="en-US"/>
        </w:rPr>
        <w:t>, population censuses, nationality, international family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[</w:t>
      </w:r>
      <w:proofErr w:type="spellStart"/>
      <w:r>
        <w:rPr>
          <w:color w:val="000000"/>
          <w:sz w:val="26"/>
          <w:szCs w:val="26"/>
        </w:rPr>
        <w:t>пустаястрока</w:t>
      </w:r>
      <w:proofErr w:type="spellEnd"/>
      <w:r>
        <w:rPr>
          <w:color w:val="000000"/>
          <w:sz w:val="26"/>
          <w:szCs w:val="26"/>
        </w:rPr>
        <w:t>]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  текст статьи текст статьи текст статьи текст статьи текст статьи текст статьи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[</w:t>
      </w:r>
      <w:proofErr w:type="spellStart"/>
      <w:r>
        <w:rPr>
          <w:color w:val="000000"/>
          <w:sz w:val="26"/>
          <w:szCs w:val="26"/>
        </w:rPr>
        <w:t>пустаястрока</w:t>
      </w:r>
      <w:proofErr w:type="spellEnd"/>
      <w:r>
        <w:rPr>
          <w:color w:val="000000"/>
          <w:sz w:val="26"/>
          <w:szCs w:val="26"/>
        </w:rPr>
        <w:t>]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Литература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1. Иванов И.И. Помощь взрослых детей своим родителям// Социологическая наука и практика: материалы </w:t>
      </w:r>
      <w:proofErr w:type="spellStart"/>
      <w:r>
        <w:rPr>
          <w:color w:val="000000"/>
          <w:sz w:val="26"/>
          <w:szCs w:val="26"/>
        </w:rPr>
        <w:t>междунар</w:t>
      </w:r>
      <w:proofErr w:type="spellEnd"/>
      <w:r>
        <w:rPr>
          <w:color w:val="000000"/>
          <w:sz w:val="26"/>
          <w:szCs w:val="26"/>
        </w:rPr>
        <w:t xml:space="preserve">. науч. </w:t>
      </w:r>
      <w:proofErr w:type="spellStart"/>
      <w:r>
        <w:rPr>
          <w:color w:val="000000"/>
          <w:sz w:val="26"/>
          <w:szCs w:val="26"/>
        </w:rPr>
        <w:t>конф</w:t>
      </w:r>
      <w:proofErr w:type="spellEnd"/>
      <w:r>
        <w:rPr>
          <w:color w:val="000000"/>
          <w:sz w:val="26"/>
          <w:szCs w:val="26"/>
        </w:rPr>
        <w:t>. Пермь: Изд-во «Молодой ученый», 2019. С. 140–148.</w:t>
      </w:r>
    </w:p>
    <w:p w:rsidR="0065754B" w:rsidRDefault="0065754B" w:rsidP="0065754B">
      <w:pPr>
        <w:pStyle w:val="nospacing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 Петров П.П. Образование в современном университете // Высшее образование в России. 2016. № 1. С. 22-33.</w:t>
      </w:r>
    </w:p>
    <w:p w:rsidR="00EF70AE" w:rsidRPr="0065754B" w:rsidRDefault="0065754B" w:rsidP="0065754B"/>
    <w:sectPr w:rsidR="00EF70AE" w:rsidRPr="0065754B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4589"/>
    <w:rsid w:val="00044A30"/>
    <w:rsid w:val="000646FC"/>
    <w:rsid w:val="000C0165"/>
    <w:rsid w:val="000E0068"/>
    <w:rsid w:val="001072A4"/>
    <w:rsid w:val="00113423"/>
    <w:rsid w:val="00125DC3"/>
    <w:rsid w:val="001B497F"/>
    <w:rsid w:val="001B5E47"/>
    <w:rsid w:val="001C7ECA"/>
    <w:rsid w:val="001D4DFD"/>
    <w:rsid w:val="0021797A"/>
    <w:rsid w:val="002D2A9A"/>
    <w:rsid w:val="00327E25"/>
    <w:rsid w:val="00371324"/>
    <w:rsid w:val="00372522"/>
    <w:rsid w:val="00372582"/>
    <w:rsid w:val="003A12A3"/>
    <w:rsid w:val="003A55EE"/>
    <w:rsid w:val="003B36CF"/>
    <w:rsid w:val="003D1AAE"/>
    <w:rsid w:val="004310CE"/>
    <w:rsid w:val="004619FF"/>
    <w:rsid w:val="0048396E"/>
    <w:rsid w:val="005141A5"/>
    <w:rsid w:val="0055266E"/>
    <w:rsid w:val="005853BB"/>
    <w:rsid w:val="00634FA9"/>
    <w:rsid w:val="0064042D"/>
    <w:rsid w:val="006439DA"/>
    <w:rsid w:val="0065414B"/>
    <w:rsid w:val="0065754B"/>
    <w:rsid w:val="006D79A1"/>
    <w:rsid w:val="00731138"/>
    <w:rsid w:val="0074463E"/>
    <w:rsid w:val="00770B19"/>
    <w:rsid w:val="007C1808"/>
    <w:rsid w:val="007D02CD"/>
    <w:rsid w:val="007D25CA"/>
    <w:rsid w:val="007E41CF"/>
    <w:rsid w:val="0080429C"/>
    <w:rsid w:val="00871AF7"/>
    <w:rsid w:val="00884C1A"/>
    <w:rsid w:val="008908A2"/>
    <w:rsid w:val="008C2E9B"/>
    <w:rsid w:val="008C448C"/>
    <w:rsid w:val="008C7A16"/>
    <w:rsid w:val="00901588"/>
    <w:rsid w:val="00910972"/>
    <w:rsid w:val="00922162"/>
    <w:rsid w:val="00945066"/>
    <w:rsid w:val="00981FD6"/>
    <w:rsid w:val="0098645D"/>
    <w:rsid w:val="009D5138"/>
    <w:rsid w:val="00BC61B3"/>
    <w:rsid w:val="00C22498"/>
    <w:rsid w:val="00C66A5A"/>
    <w:rsid w:val="00DB749C"/>
    <w:rsid w:val="00E030A7"/>
    <w:rsid w:val="00E0325C"/>
    <w:rsid w:val="00E23866"/>
    <w:rsid w:val="00E325B6"/>
    <w:rsid w:val="00ED5E81"/>
    <w:rsid w:val="00EF1231"/>
    <w:rsid w:val="00F02BB0"/>
    <w:rsid w:val="00F5190B"/>
    <w:rsid w:val="00F66C2E"/>
    <w:rsid w:val="00F9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2B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B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65754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575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2B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B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65754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575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osof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Юрьевич Грабовенко</dc:creator>
  <cp:lastModifiedBy>AAA</cp:lastModifiedBy>
  <cp:revision>3</cp:revision>
  <cp:lastPrinted>2020-01-28T10:25:00Z</cp:lastPrinted>
  <dcterms:created xsi:type="dcterms:W3CDTF">2020-01-30T08:00:00Z</dcterms:created>
  <dcterms:modified xsi:type="dcterms:W3CDTF">2020-10-07T21:45:00Z</dcterms:modified>
</cp:coreProperties>
</file>