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80"/>
        <w:spacing w:after="0"/>
        <w:rPr>
          <w:sz w:val="20"/>
          <w:szCs w:val="20"/>
          <w:color w:val="auto"/>
        </w:rPr>
      </w:pPr>
      <w:r>
        <w:rPr>
          <w:rFonts w:ascii="Times New Roman" w:cs="Times New Roman" w:eastAsia="Times New Roman" w:hAnsi="Times New Roman"/>
          <w:sz w:val="22"/>
          <w:szCs w:val="22"/>
          <w:b w:val="1"/>
          <w:b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7560310" cy="10692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t>1–5 JULY</w:t>
      </w:r>
    </w:p>
    <w:p>
      <w:pPr>
        <w:spacing w:after="0" w:line="13" w:lineRule="exact"/>
        <w:rPr>
          <w:sz w:val="24"/>
          <w:szCs w:val="24"/>
          <w:color w:val="auto"/>
        </w:rPr>
      </w:pPr>
    </w:p>
    <w:p>
      <w:pPr>
        <w:ind w:left="380"/>
        <w:spacing w:after="0"/>
        <w:rPr>
          <w:sz w:val="20"/>
          <w:szCs w:val="20"/>
          <w:color w:val="auto"/>
        </w:rPr>
      </w:pPr>
      <w:r>
        <w:rPr>
          <w:rFonts w:ascii="Times New Roman" w:cs="Times New Roman" w:eastAsia="Times New Roman" w:hAnsi="Times New Roman"/>
          <w:sz w:val="48"/>
          <w:szCs w:val="48"/>
          <w:b w:val="1"/>
          <w:bCs w:val="1"/>
          <w:color w:val="FFFFFF"/>
        </w:rPr>
        <w:t>2019</w:t>
      </w:r>
    </w:p>
    <w:p>
      <w:pPr>
        <w:spacing w:after="0" w:line="397"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2"/>
          <w:szCs w:val="22"/>
          <w:b w:val="1"/>
          <w:bCs w:val="1"/>
          <w:color w:val="FFFFFF"/>
        </w:rPr>
        <w:t>SAINT-PETERSBURG</w:t>
      </w:r>
    </w:p>
    <w:p>
      <w:pPr>
        <w:spacing w:after="0" w:line="132" w:lineRule="exact"/>
        <w:rPr>
          <w:sz w:val="24"/>
          <w:szCs w:val="24"/>
          <w:color w:val="auto"/>
        </w:rPr>
      </w:pPr>
    </w:p>
    <w:p>
      <w:pPr>
        <w:ind w:left="420"/>
        <w:spacing w:after="0"/>
        <w:rPr>
          <w:sz w:val="20"/>
          <w:szCs w:val="20"/>
          <w:color w:val="auto"/>
        </w:rPr>
      </w:pPr>
      <w:r>
        <w:rPr>
          <w:rFonts w:ascii="Times New Roman" w:cs="Times New Roman" w:eastAsia="Times New Roman" w:hAnsi="Times New Roman"/>
          <w:sz w:val="22"/>
          <w:szCs w:val="22"/>
          <w:b w:val="1"/>
          <w:bCs w:val="1"/>
          <w:color w:val="FFFFFF"/>
        </w:rPr>
        <w:t>RUSSIA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8" w:lineRule="exact"/>
        <w:rPr>
          <w:sz w:val="24"/>
          <w:szCs w:val="24"/>
          <w:color w:val="auto"/>
        </w:rPr>
      </w:pPr>
    </w:p>
    <w:p>
      <w:pPr>
        <w:spacing w:after="0"/>
        <w:rPr>
          <w:sz w:val="20"/>
          <w:szCs w:val="20"/>
          <w:color w:val="auto"/>
        </w:rPr>
      </w:pPr>
      <w:r>
        <w:rPr>
          <w:rFonts w:ascii="Times New Roman" w:cs="Times New Roman" w:eastAsia="Times New Roman" w:hAnsi="Times New Roman"/>
          <w:sz w:val="28"/>
          <w:szCs w:val="28"/>
          <w:b w:val="1"/>
          <w:bCs w:val="1"/>
          <w:color w:val="FFFFFF"/>
        </w:rPr>
        <w:t>International Conference</w:t>
      </w:r>
    </w:p>
    <w:p>
      <w:pPr>
        <w:spacing w:after="0" w:line="20" w:lineRule="exact"/>
        <w:rPr>
          <w:sz w:val="24"/>
          <w:szCs w:val="24"/>
          <w:color w:val="auto"/>
        </w:rPr>
      </w:pPr>
      <w:r>
        <w:rPr>
          <w:sz w:val="24"/>
          <w:szCs w:val="24"/>
          <w:color w:val="auto"/>
        </w:rPr>
        <w:br w:type="column"/>
      </w:r>
    </w:p>
    <w:p>
      <w:pPr>
        <w:spacing w:after="0" w:line="246" w:lineRule="exact"/>
        <w:rPr>
          <w:sz w:val="24"/>
          <w:szCs w:val="24"/>
          <w:color w:val="auto"/>
        </w:rPr>
      </w:pPr>
    </w:p>
    <w:p>
      <w:pPr>
        <w:spacing w:after="0"/>
        <w:rPr>
          <w:sz w:val="20"/>
          <w:szCs w:val="20"/>
          <w:color w:val="auto"/>
        </w:rPr>
      </w:pPr>
      <w:r>
        <w:rPr>
          <w:rFonts w:ascii="Arial" w:cs="Arial" w:eastAsia="Arial" w:hAnsi="Arial"/>
          <w:sz w:val="10"/>
          <w:szCs w:val="10"/>
          <w:b w:val="1"/>
          <w:bCs w:val="1"/>
          <w:color w:val="FFFFFF"/>
        </w:rPr>
        <w:t>RUSSIAN</w:t>
      </w:r>
    </w:p>
    <w:p>
      <w:pPr>
        <w:spacing w:after="0" w:line="3" w:lineRule="exact"/>
        <w:rPr>
          <w:sz w:val="24"/>
          <w:szCs w:val="24"/>
          <w:color w:val="auto"/>
        </w:rPr>
      </w:pPr>
    </w:p>
    <w:p>
      <w:pPr>
        <w:spacing w:after="0"/>
        <w:rPr>
          <w:sz w:val="20"/>
          <w:szCs w:val="20"/>
          <w:color w:val="auto"/>
        </w:rPr>
      </w:pPr>
      <w:r>
        <w:rPr>
          <w:rFonts w:ascii="Arial" w:cs="Arial" w:eastAsia="Arial" w:hAnsi="Arial"/>
          <w:sz w:val="9"/>
          <w:szCs w:val="9"/>
          <w:b w:val="1"/>
          <w:bCs w:val="1"/>
          <w:color w:val="FFFFFF"/>
        </w:rPr>
        <w:t>FOUNDATION</w:t>
      </w:r>
    </w:p>
    <w:p>
      <w:pPr>
        <w:spacing w:after="0" w:line="14" w:lineRule="exact"/>
        <w:rPr>
          <w:sz w:val="24"/>
          <w:szCs w:val="24"/>
          <w:color w:val="auto"/>
        </w:rPr>
      </w:pPr>
    </w:p>
    <w:p>
      <w:pPr>
        <w:spacing w:after="0"/>
        <w:rPr>
          <w:sz w:val="20"/>
          <w:szCs w:val="20"/>
          <w:color w:val="auto"/>
        </w:rPr>
      </w:pPr>
      <w:r>
        <w:rPr>
          <w:rFonts w:ascii="Arial" w:cs="Arial" w:eastAsia="Arial" w:hAnsi="Arial"/>
          <w:sz w:val="10"/>
          <w:szCs w:val="10"/>
          <w:b w:val="1"/>
          <w:bCs w:val="1"/>
          <w:color w:val="FFFFFF"/>
        </w:rPr>
        <w:t>FOR BASIC</w:t>
      </w:r>
    </w:p>
    <w:p>
      <w:pPr>
        <w:spacing w:after="0" w:line="3" w:lineRule="exact"/>
        <w:rPr>
          <w:sz w:val="24"/>
          <w:szCs w:val="24"/>
          <w:color w:val="auto"/>
        </w:rPr>
      </w:pPr>
    </w:p>
    <w:p>
      <w:pPr>
        <w:spacing w:after="0"/>
        <w:rPr>
          <w:sz w:val="20"/>
          <w:szCs w:val="20"/>
          <w:color w:val="auto"/>
        </w:rPr>
      </w:pPr>
      <w:r>
        <w:rPr>
          <w:rFonts w:ascii="Arial" w:cs="Arial" w:eastAsia="Arial" w:hAnsi="Arial"/>
          <w:sz w:val="10"/>
          <w:szCs w:val="10"/>
          <w:b w:val="1"/>
          <w:bCs w:val="1"/>
          <w:color w:val="FFFFFF"/>
        </w:rPr>
        <w:t>RESEARCH</w:t>
      </w:r>
    </w:p>
    <w:p>
      <w:pPr>
        <w:spacing w:after="0" w:line="2948" w:lineRule="exact"/>
        <w:rPr>
          <w:sz w:val="24"/>
          <w:szCs w:val="24"/>
          <w:color w:val="auto"/>
        </w:rPr>
      </w:pPr>
    </w:p>
    <w:p>
      <w:pPr>
        <w:sectPr>
          <w:pgSz w:w="11900" w:h="16838" w:orient="portrait"/>
          <w:cols w:equalWidth="0" w:num="2">
            <w:col w:w="9220" w:space="720"/>
            <w:col w:w="640"/>
          </w:cols>
          <w:pgMar w:left="660" w:top="750" w:right="666" w:bottom="315" w:gutter="0" w:footer="0" w:header="0"/>
        </w:sectPr>
      </w:pPr>
    </w:p>
    <w:p>
      <w:pPr>
        <w:spacing w:after="0" w:line="314" w:lineRule="exact"/>
        <w:rPr>
          <w:sz w:val="24"/>
          <w:szCs w:val="24"/>
          <w:color w:val="auto"/>
        </w:rPr>
      </w:pPr>
    </w:p>
    <w:p>
      <w:pPr>
        <w:jc w:val="both"/>
        <w:ind w:right="480"/>
        <w:spacing w:after="0" w:line="318" w:lineRule="auto"/>
        <w:rPr>
          <w:sz w:val="20"/>
          <w:szCs w:val="20"/>
          <w:color w:val="auto"/>
        </w:rPr>
      </w:pPr>
      <w:r>
        <w:rPr>
          <w:rFonts w:ascii="Times New Roman" w:cs="Times New Roman" w:eastAsia="Times New Roman" w:hAnsi="Times New Roman"/>
          <w:sz w:val="41"/>
          <w:szCs w:val="41"/>
          <w:b w:val="1"/>
          <w:bCs w:val="1"/>
          <w:color w:val="FFFFFF"/>
        </w:rPr>
        <w:t>MECHANISMS AND NON-LINEAR PROBLEMS OF NUCLEATION AND GROWTH OF CRYSTALS AND THIN FILMS</w:t>
      </w:r>
    </w:p>
    <w:p>
      <w:pPr>
        <w:spacing w:after="0" w:line="7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FFFFFF"/>
        </w:rPr>
        <w:t>1ST ANNOUNCEMENT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FFFFFF"/>
        </w:rPr>
        <w:t>General information</w:t>
      </w:r>
    </w:p>
    <w:p>
      <w:pPr>
        <w:spacing w:after="0" w:line="292" w:lineRule="exact"/>
        <w:rPr>
          <w:sz w:val="24"/>
          <w:szCs w:val="24"/>
          <w:color w:val="auto"/>
        </w:rPr>
      </w:pPr>
    </w:p>
    <w:p>
      <w:pPr>
        <w:ind w:right="20"/>
        <w:spacing w:after="0" w:line="351" w:lineRule="auto"/>
        <w:rPr>
          <w:sz w:val="20"/>
          <w:szCs w:val="20"/>
          <w:color w:val="auto"/>
        </w:rPr>
      </w:pPr>
      <w:r>
        <w:rPr>
          <w:rFonts w:ascii="Arial" w:cs="Arial" w:eastAsia="Arial" w:hAnsi="Arial"/>
          <w:sz w:val="30"/>
          <w:szCs w:val="30"/>
          <w:color w:val="FFFFFF"/>
        </w:rPr>
        <w:t>Here with we invite you to take part in the International Conference "Mecha-nisms and non-linear problems of nucleation and growth of crystals and thin films". The conference is the logical continuation of the series of symposiums "Nucleation theory and applications", organized in the period 1997-2016 each year jointly by colleagues from the Bogoliubov Laboratory of Theoretical Physics of the Joint Institute for Nuclear Research (Prof. Vyatcheslav B. Priez-zhev, Dubna, Russia) and the Institute of Physics of the University of Rostock (Prof. Juern W.P. Schmelzer, Rostock, Germany), and of the conference "Nucle-ation and non-linear problems in first-order phase transitions”, organized in 1998 and 2002 by the Institute of Problems of Mechanical Engineering (Prof. Sergey A. Kukushkin, St. Peterburg, Russia). The conference is organized in memory of our teacher and friend V.V. Slyozov.</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2"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FFFFFF"/>
        </w:rPr>
        <w:t>WWW.MGCTF.RU</w:t>
      </w:r>
    </w:p>
    <w:p>
      <w:pPr>
        <w:sectPr>
          <w:pgSz w:w="11900" w:h="16838" w:orient="portrait"/>
          <w:cols w:equalWidth="0" w:num="1">
            <w:col w:w="10580"/>
          </w:cols>
          <w:pgMar w:left="660" w:top="750" w:right="666" w:bottom="315"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24"/>
          <w:szCs w:val="24"/>
          <w:b w:val="1"/>
          <w:bCs w:val="1"/>
          <w:color w:val="auto"/>
        </w:rPr>
        <w:t>The main objectives of the conference are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-127000</wp:posOffset>
                </wp:positionV>
                <wp:extent cx="203835" cy="7874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2" o:spid="_x0000_s1027" style="position:absolute;margin-left:-33pt;margin-top:-10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540"/>
          </w:cols>
          <w:pgMar w:left="660" w:top="1028" w:right="706" w:bottom="241" w:gutter="0" w:footer="0" w:header="0"/>
        </w:sectPr>
      </w:pPr>
    </w:p>
    <w:p>
      <w:pPr>
        <w:spacing w:after="0" w:line="254" w:lineRule="exact"/>
        <w:rPr>
          <w:sz w:val="20"/>
          <w:szCs w:val="20"/>
          <w:color w:val="auto"/>
        </w:rPr>
      </w:pPr>
    </w:p>
    <w:p>
      <w:pPr>
        <w:ind w:left="400" w:hanging="396"/>
        <w:spacing w:after="0" w:line="397" w:lineRule="auto"/>
        <w:tabs>
          <w:tab w:leader="none" w:pos="400" w:val="left"/>
        </w:tabs>
        <w:numPr>
          <w:ilvl w:val="0"/>
          <w:numId w:val="1"/>
        </w:numPr>
        <w:rPr>
          <w:rFonts w:ascii="Times New Roman" w:cs="Times New Roman" w:eastAsia="Times New Roman" w:hAnsi="Times New Roman"/>
          <w:sz w:val="19"/>
          <w:szCs w:val="19"/>
          <w:b w:val="1"/>
          <w:bCs w:val="1"/>
          <w:color w:val="auto"/>
        </w:rPr>
      </w:pPr>
      <w:r>
        <w:rPr>
          <w:rFonts w:ascii="Arial" w:cs="Arial" w:eastAsia="Arial" w:hAnsi="Arial"/>
          <w:sz w:val="19"/>
          <w:szCs w:val="19"/>
          <w:color w:val="auto"/>
        </w:rPr>
        <w:t>to bring together specialists in the field of theory and practice of nucleation and growth of crystals and thin films in order to discuss the latest achievements and the results obtained by their scientif-ic groups</w:t>
      </w:r>
    </w:p>
    <w:p>
      <w:pPr>
        <w:spacing w:after="0" w:line="20" w:lineRule="exact"/>
        <w:rPr>
          <w:sz w:val="20"/>
          <w:szCs w:val="20"/>
          <w:color w:val="auto"/>
        </w:rPr>
      </w:pPr>
      <w:r>
        <w:rPr>
          <w:sz w:val="20"/>
          <w:szCs w:val="20"/>
          <w:color w:val="auto"/>
        </w:rPr>
        <w:br w:type="column"/>
      </w:r>
    </w:p>
    <w:p>
      <w:pPr>
        <w:spacing w:after="0" w:line="234" w:lineRule="exact"/>
        <w:rPr>
          <w:sz w:val="20"/>
          <w:szCs w:val="20"/>
          <w:color w:val="auto"/>
        </w:rPr>
      </w:pPr>
    </w:p>
    <w:p>
      <w:pPr>
        <w:ind w:left="397" w:hanging="397"/>
        <w:spacing w:after="0" w:line="375" w:lineRule="auto"/>
        <w:tabs>
          <w:tab w:leader="none" w:pos="397" w:val="left"/>
        </w:tabs>
        <w:numPr>
          <w:ilvl w:val="0"/>
          <w:numId w:val="2"/>
        </w:numPr>
        <w:rPr>
          <w:rFonts w:ascii="Times New Roman" w:cs="Times New Roman" w:eastAsia="Times New Roman" w:hAnsi="Times New Roman"/>
          <w:sz w:val="20"/>
          <w:szCs w:val="20"/>
          <w:b w:val="1"/>
          <w:bCs w:val="1"/>
          <w:color w:val="auto"/>
        </w:rPr>
      </w:pPr>
      <w:r>
        <w:rPr>
          <w:rFonts w:ascii="Arial" w:cs="Arial" w:eastAsia="Arial" w:hAnsi="Arial"/>
          <w:sz w:val="20"/>
          <w:szCs w:val="20"/>
          <w:color w:val="auto"/>
        </w:rPr>
        <w:t>to establish and/or tighten direct co-operation links between leading scientists and scientific groups to anticipate joint working themes and common projects</w:t>
      </w:r>
    </w:p>
    <w:p>
      <w:pPr>
        <w:spacing w:after="0" w:line="20" w:lineRule="exact"/>
        <w:rPr>
          <w:sz w:val="20"/>
          <w:szCs w:val="20"/>
          <w:color w:val="auto"/>
        </w:rPr>
      </w:pPr>
      <w:r>
        <w:rPr>
          <w:sz w:val="20"/>
          <w:szCs w:val="20"/>
          <w:color w:val="auto"/>
        </w:rPr>
        <w:br w:type="column"/>
      </w:r>
    </w:p>
    <w:p>
      <w:pPr>
        <w:spacing w:after="0" w:line="234" w:lineRule="exact"/>
        <w:rPr>
          <w:sz w:val="20"/>
          <w:szCs w:val="20"/>
          <w:color w:val="auto"/>
        </w:rPr>
      </w:pPr>
    </w:p>
    <w:p>
      <w:pPr>
        <w:ind w:left="398" w:hanging="398"/>
        <w:spacing w:after="0" w:line="396" w:lineRule="auto"/>
        <w:tabs>
          <w:tab w:leader="none" w:pos="398" w:val="left"/>
        </w:tabs>
        <w:numPr>
          <w:ilvl w:val="0"/>
          <w:numId w:val="3"/>
        </w:numPr>
        <w:rPr>
          <w:rFonts w:ascii="Times New Roman" w:cs="Times New Roman" w:eastAsia="Times New Roman" w:hAnsi="Times New Roman"/>
          <w:sz w:val="19"/>
          <w:szCs w:val="19"/>
          <w:b w:val="1"/>
          <w:bCs w:val="1"/>
          <w:color w:val="auto"/>
        </w:rPr>
      </w:pPr>
      <w:r>
        <w:rPr>
          <w:rFonts w:ascii="Arial" w:cs="Arial" w:eastAsia="Arial" w:hAnsi="Arial"/>
          <w:sz w:val="19"/>
          <w:szCs w:val="19"/>
          <w:color w:val="auto"/>
        </w:rPr>
        <w:t>to elicite new promising theo-retical and practical approaches able to describe, in particular, the growth of wide-bandgap semiconductors (SiC, GaN, AlN, Ga2O3, etc.), which are the most frequently employed presently in technological applications</w:t>
      </w:r>
    </w:p>
    <w:p>
      <w:pPr>
        <w:spacing w:after="0" w:line="200" w:lineRule="exact"/>
        <w:rPr>
          <w:sz w:val="20"/>
          <w:szCs w:val="20"/>
          <w:color w:val="auto"/>
        </w:rPr>
      </w:pPr>
    </w:p>
    <w:p>
      <w:pPr>
        <w:sectPr>
          <w:pgSz w:w="11900" w:h="16838" w:orient="portrait"/>
          <w:cols w:equalWidth="0" w:num="3">
            <w:col w:w="3260" w:space="403"/>
            <w:col w:w="3217" w:space="442"/>
            <w:col w:w="3218"/>
          </w:cols>
          <w:pgMar w:left="660" w:top="1028" w:right="706" w:bottom="241" w:gutter="0" w:footer="0" w:header="0"/>
          <w:type w:val="continuous"/>
        </w:sectPr>
      </w:pPr>
    </w:p>
    <w:p>
      <w:pPr>
        <w:spacing w:after="0" w:line="139" w:lineRule="exact"/>
        <w:rPr>
          <w:sz w:val="20"/>
          <w:szCs w:val="20"/>
          <w:color w:val="auto"/>
        </w:rPr>
      </w:pPr>
    </w:p>
    <w:p>
      <w:pPr>
        <w:ind w:right="80"/>
        <w:spacing w:after="0" w:line="375" w:lineRule="auto"/>
        <w:rPr>
          <w:sz w:val="20"/>
          <w:szCs w:val="20"/>
          <w:color w:val="auto"/>
        </w:rPr>
      </w:pPr>
      <w:r>
        <w:rPr>
          <w:rFonts w:ascii="Arial" w:cs="Arial" w:eastAsia="Arial" w:hAnsi="Arial"/>
          <w:sz w:val="20"/>
          <w:szCs w:val="20"/>
          <w:color w:val="auto"/>
        </w:rPr>
        <w:t>The scientific topics of the conference cover a wide range of issues: mechanisms of nucleation and growth of crystals and thin films; nonlinear and collective effects associated with the nucleation and growth of crystals in both single-component and multi-component systems; associated physical and chemical processes, as well as their influence on crystal formation. Particular attention is directed hereby to crystals and thin films of wide-bandgap semiconductors, such as SiC, GaN, AlN, Ga2O3, but it is not limited to them. The particular relevance of mentioned materials is caused by the wide range of appli-cations of semiconductor structures based on them and their relevance in the world industry. The conference is devoted to both fundamental and applied research.</w:t>
      </w: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The main topics of the conference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874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3" o:spid="_x0000_s1028" style="position:absolute;margin-left:-33pt;margin-top:-8.5999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1" w:lineRule="exact"/>
        <w:rPr>
          <w:sz w:val="20"/>
          <w:szCs w:val="20"/>
          <w:color w:val="auto"/>
        </w:rPr>
      </w:pPr>
    </w:p>
    <w:p>
      <w:pPr>
        <w:ind w:left="320" w:right="360" w:hanging="292"/>
        <w:spacing w:after="0" w:line="390" w:lineRule="auto"/>
        <w:tabs>
          <w:tab w:leader="none" w:pos="32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Mechanisms of crystal formation and growth in single- and multi-component systems: theoretical description of the process, numerical modeling, experimental results.</w:t>
      </w:r>
    </w:p>
    <w:p>
      <w:pPr>
        <w:spacing w:after="0" w:line="98" w:lineRule="exact"/>
        <w:rPr>
          <w:rFonts w:ascii="Arial" w:cs="Arial" w:eastAsia="Arial" w:hAnsi="Arial"/>
          <w:sz w:val="16"/>
          <w:szCs w:val="16"/>
          <w:b w:val="1"/>
          <w:bCs w:val="1"/>
          <w:color w:val="auto"/>
        </w:rPr>
      </w:pPr>
    </w:p>
    <w:p>
      <w:pPr>
        <w:ind w:left="320" w:right="140" w:hanging="292"/>
        <w:spacing w:after="0" w:line="390" w:lineRule="auto"/>
        <w:tabs>
          <w:tab w:leader="none" w:pos="32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New methods and approaches to the description of growth and the investigation of different properties of wide-band-gap semiconductors.</w:t>
      </w:r>
    </w:p>
    <w:p>
      <w:pPr>
        <w:spacing w:after="0" w:line="94" w:lineRule="exact"/>
        <w:rPr>
          <w:rFonts w:ascii="Arial" w:cs="Arial" w:eastAsia="Arial" w:hAnsi="Arial"/>
          <w:sz w:val="16"/>
          <w:szCs w:val="16"/>
          <w:b w:val="1"/>
          <w:bCs w:val="1"/>
          <w:color w:val="auto"/>
        </w:rPr>
      </w:pPr>
    </w:p>
    <w:p>
      <w:pPr>
        <w:ind w:left="320" w:hanging="292"/>
        <w:spacing w:after="0"/>
        <w:tabs>
          <w:tab w:leader="none" w:pos="32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Nonlinear and collective phenomena in the process of crystal growth.</w:t>
      </w:r>
    </w:p>
    <w:p>
      <w:pPr>
        <w:spacing w:after="0" w:line="242" w:lineRule="exact"/>
        <w:rPr>
          <w:rFonts w:ascii="Arial" w:cs="Arial" w:eastAsia="Arial" w:hAnsi="Arial"/>
          <w:sz w:val="16"/>
          <w:szCs w:val="16"/>
          <w:b w:val="1"/>
          <w:bCs w:val="1"/>
          <w:color w:val="auto"/>
        </w:rPr>
      </w:pPr>
    </w:p>
    <w:p>
      <w:pPr>
        <w:ind w:left="380" w:hanging="352"/>
        <w:spacing w:after="0"/>
        <w:tabs>
          <w:tab w:leader="none" w:pos="38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Physics, chemistry, and mechanics of crystal surfaces</w:t>
      </w:r>
    </w:p>
    <w:p>
      <w:pPr>
        <w:spacing w:after="0" w:line="274" w:lineRule="exact"/>
        <w:rPr>
          <w:rFonts w:ascii="Arial" w:cs="Arial" w:eastAsia="Arial" w:hAnsi="Arial"/>
          <w:sz w:val="16"/>
          <w:szCs w:val="16"/>
          <w:b w:val="1"/>
          <w:bCs w:val="1"/>
          <w:color w:val="auto"/>
        </w:rPr>
      </w:pPr>
    </w:p>
    <w:p>
      <w:pPr>
        <w:ind w:left="380" w:hanging="352"/>
        <w:spacing w:after="0"/>
        <w:tabs>
          <w:tab w:leader="none" w:pos="38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Origin and statistics of lattice defects and their effect on the properties of the crystals</w:t>
      </w:r>
    </w:p>
    <w:p>
      <w:pPr>
        <w:spacing w:after="0" w:line="231" w:lineRule="exact"/>
        <w:rPr>
          <w:rFonts w:ascii="Arial" w:cs="Arial" w:eastAsia="Arial" w:hAnsi="Arial"/>
          <w:sz w:val="16"/>
          <w:szCs w:val="16"/>
          <w:b w:val="1"/>
          <w:bCs w:val="1"/>
          <w:color w:val="auto"/>
        </w:rPr>
      </w:pPr>
    </w:p>
    <w:p>
      <w:pPr>
        <w:ind w:left="380" w:hanging="352"/>
        <w:spacing w:after="0"/>
        <w:tabs>
          <w:tab w:leader="none" w:pos="380" w:val="left"/>
        </w:tabs>
        <w:numPr>
          <w:ilvl w:val="0"/>
          <w:numId w:val="4"/>
        </w:numPr>
        <w:rPr>
          <w:rFonts w:ascii="Arial" w:cs="Arial" w:eastAsia="Arial" w:hAnsi="Arial"/>
          <w:sz w:val="16"/>
          <w:szCs w:val="16"/>
          <w:b w:val="1"/>
          <w:bCs w:val="1"/>
          <w:color w:val="auto"/>
        </w:rPr>
      </w:pPr>
      <w:r>
        <w:rPr>
          <w:rFonts w:ascii="Arial" w:cs="Arial" w:eastAsia="Arial" w:hAnsi="Arial"/>
          <w:sz w:val="20"/>
          <w:szCs w:val="20"/>
          <w:color w:val="auto"/>
        </w:rPr>
        <w:t>Fundamental problems (nucleation theory, phase transitions etc.)</w:t>
      </w:r>
    </w:p>
    <w:p>
      <w:pPr>
        <w:spacing w:after="0" w:line="315" w:lineRule="exact"/>
        <w:rPr>
          <w:sz w:val="20"/>
          <w:szCs w:val="20"/>
          <w:color w:val="auto"/>
        </w:rPr>
      </w:pPr>
    </w:p>
    <w:p>
      <w:pPr>
        <w:spacing w:after="0"/>
        <w:rPr>
          <w:sz w:val="20"/>
          <w:szCs w:val="20"/>
          <w:color w:val="auto"/>
        </w:rPr>
      </w:pPr>
      <w:r>
        <w:rPr>
          <w:rFonts w:ascii="Arial" w:cs="Arial" w:eastAsia="Arial" w:hAnsi="Arial"/>
          <w:sz w:val="20"/>
          <w:szCs w:val="20"/>
          <w:color w:val="auto"/>
        </w:rPr>
        <w:t>Plenary sessions and poster sessions are planned to be held in the course of the conference.</w:t>
      </w: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Key dates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874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4" o:spid="_x0000_s1029" style="position:absolute;margin-left:-33pt;margin-top:-8.5999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2"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The registration is already open!</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 xml:space="preserve">Abstract Submission Deadline: </w:t>
      </w:r>
      <w:r>
        <w:rPr>
          <w:rFonts w:ascii="Arial" w:cs="Arial" w:eastAsia="Arial" w:hAnsi="Arial"/>
          <w:sz w:val="20"/>
          <w:szCs w:val="20"/>
          <w:b w:val="1"/>
          <w:bCs w:val="1"/>
          <w:color w:val="auto"/>
        </w:rPr>
        <w:t>1 April 2019</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 xml:space="preserve">Notification of acceptance: </w:t>
      </w:r>
      <w:r>
        <w:rPr>
          <w:rFonts w:ascii="Arial" w:cs="Arial" w:eastAsia="Arial" w:hAnsi="Arial"/>
          <w:sz w:val="20"/>
          <w:szCs w:val="20"/>
          <w:b w:val="1"/>
          <w:bCs w:val="1"/>
          <w:color w:val="auto"/>
        </w:rPr>
        <w:t>1 May 2019</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 xml:space="preserve">Conference: </w:t>
      </w:r>
      <w:r>
        <w:rPr>
          <w:rFonts w:ascii="Arial" w:cs="Arial" w:eastAsia="Arial" w:hAnsi="Arial"/>
          <w:sz w:val="20"/>
          <w:szCs w:val="20"/>
          <w:b w:val="1"/>
          <w:bCs w:val="1"/>
          <w:color w:val="auto"/>
        </w:rPr>
        <w:t>1–5 July 2019</w:t>
      </w:r>
    </w:p>
    <w:p>
      <w:pPr>
        <w:spacing w:after="0" w:line="200" w:lineRule="exact"/>
        <w:rPr>
          <w:sz w:val="20"/>
          <w:szCs w:val="20"/>
          <w:color w:val="auto"/>
        </w:rPr>
      </w:pPr>
    </w:p>
    <w:p>
      <w:pPr>
        <w:spacing w:after="0" w:line="31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Online-registration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937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9375"/>
                        </a:xfrm>
                        <a:prstGeom prst="rect">
                          <a:avLst/>
                        </a:prstGeom>
                        <a:solidFill>
                          <a:srgbClr val="000000"/>
                        </a:solidFill>
                      </wps:spPr>
                      <wps:bodyPr/>
                    </wps:wsp>
                  </a:graphicData>
                </a:graphic>
              </wp:anchor>
            </w:drawing>
          </mc:Choice>
          <mc:Fallback>
            <w:pict>
              <v:rect id="Shape 5" o:spid="_x0000_s1030" style="position:absolute;margin-left:-33pt;margin-top:-8.5999pt;width:16.05pt;height: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540"/>
          </w:cols>
          <w:pgMar w:left="660" w:top="1028" w:right="706" w:bottom="241" w:gutter="0" w:footer="0" w:header="0"/>
          <w:type w:val="continuous"/>
        </w:sectPr>
      </w:pPr>
    </w:p>
    <w:p>
      <w:pPr>
        <w:spacing w:after="0" w:line="253" w:lineRule="exact"/>
        <w:rPr>
          <w:sz w:val="20"/>
          <w:szCs w:val="20"/>
          <w:color w:val="auto"/>
        </w:rPr>
      </w:pPr>
    </w:p>
    <w:p>
      <w:pPr>
        <w:spacing w:after="0"/>
        <w:rPr>
          <w:sz w:val="20"/>
          <w:szCs w:val="20"/>
          <w:color w:val="auto"/>
        </w:rPr>
      </w:pPr>
      <w:r>
        <w:rPr>
          <w:rFonts w:ascii="Arial" w:cs="Arial" w:eastAsia="Arial" w:hAnsi="Arial"/>
          <w:sz w:val="20"/>
          <w:szCs w:val="20"/>
          <w:color w:val="auto"/>
        </w:rPr>
        <w:t>Online-registration is already open at http://mgctf.ru</w:t>
      </w:r>
    </w:p>
    <w:p>
      <w:pPr>
        <w:spacing w:after="0" w:line="127" w:lineRule="exact"/>
        <w:rPr>
          <w:sz w:val="20"/>
          <w:szCs w:val="20"/>
          <w:color w:val="auto"/>
        </w:rPr>
      </w:pPr>
    </w:p>
    <w:p>
      <w:pPr>
        <w:spacing w:after="0"/>
        <w:rPr>
          <w:sz w:val="20"/>
          <w:szCs w:val="20"/>
          <w:color w:val="auto"/>
        </w:rPr>
      </w:pPr>
      <w:r>
        <w:rPr>
          <w:rFonts w:ascii="Arial" w:cs="Arial" w:eastAsia="Arial" w:hAnsi="Arial"/>
          <w:sz w:val="19"/>
          <w:szCs w:val="19"/>
          <w:color w:val="auto"/>
        </w:rPr>
        <w:t>The site also contains full information about conference fees for participants and payment methods.</w:t>
      </w:r>
    </w:p>
    <w:p>
      <w:pPr>
        <w:sectPr>
          <w:pgSz w:w="11900" w:h="16838" w:orient="portrait"/>
          <w:cols w:equalWidth="0" w:num="1">
            <w:col w:w="10540"/>
          </w:cols>
          <w:pgMar w:left="660" w:top="1028" w:right="706" w:bottom="241" w:gutter="0" w:footer="0" w:header="0"/>
          <w:type w:val="continuous"/>
        </w:sectPr>
      </w:pPr>
    </w:p>
    <w:bookmarkStart w:id="2" w:name="page3"/>
    <w:bookmarkEnd w:id="2"/>
    <w:p>
      <w:pPr>
        <w:spacing w:after="0"/>
        <w:rPr>
          <w:sz w:val="20"/>
          <w:szCs w:val="20"/>
          <w:color w:val="auto"/>
        </w:rPr>
      </w:pPr>
      <w:r>
        <w:rPr>
          <w:rFonts w:ascii="Times New Roman" w:cs="Times New Roman" w:eastAsia="Times New Roman" w:hAnsi="Times New Roman"/>
          <w:sz w:val="24"/>
          <w:szCs w:val="24"/>
          <w:b w:val="1"/>
          <w:bCs w:val="1"/>
          <w:color w:val="auto"/>
        </w:rPr>
        <w:t>Conference venue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937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9375"/>
                        </a:xfrm>
                        <a:prstGeom prst="rect">
                          <a:avLst/>
                        </a:prstGeom>
                        <a:solidFill>
                          <a:srgbClr val="000000"/>
                        </a:solidFill>
                      </wps:spPr>
                      <wps:bodyPr/>
                    </wps:wsp>
                  </a:graphicData>
                </a:graphic>
              </wp:anchor>
            </w:drawing>
          </mc:Choice>
          <mc:Fallback>
            <w:pict>
              <v:rect id="Shape 6" o:spid="_x0000_s1031" style="position:absolute;margin-left:-33pt;margin-top:-8.5999pt;width:16.05pt;height: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42" w:lineRule="exact"/>
        <w:rPr>
          <w:sz w:val="20"/>
          <w:szCs w:val="20"/>
          <w:color w:val="auto"/>
        </w:rPr>
      </w:pPr>
    </w:p>
    <w:p>
      <w:pPr>
        <w:spacing w:after="0" w:line="377" w:lineRule="auto"/>
        <w:rPr>
          <w:sz w:val="20"/>
          <w:szCs w:val="20"/>
          <w:color w:val="auto"/>
        </w:rPr>
      </w:pPr>
      <w:r>
        <w:rPr>
          <w:rFonts w:ascii="Arial" w:cs="Arial" w:eastAsia="Arial" w:hAnsi="Arial"/>
          <w:sz w:val="20"/>
          <w:szCs w:val="20"/>
          <w:color w:val="auto"/>
        </w:rPr>
        <w:t>The conference will be held in St. Petersburg, a “small Europe” of Russia. St. Petersburg is considered as the northern capital of Russia and its cultural capital. In order to bypass all the sights, palaces, museums, and cathedrals of St. Petersburg, even a month is not enough. In addition to the cultural facilities, in St. Petersburg is concentrated a significant part of the country's scientific infrastructure, research institutes, and universities. Detailed information on the location, conference fee, publica-tion of conference materials is available at the conference web-site.</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Conference proceedings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937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9375"/>
                        </a:xfrm>
                        <a:prstGeom prst="rect">
                          <a:avLst/>
                        </a:prstGeom>
                        <a:solidFill>
                          <a:srgbClr val="000000"/>
                        </a:solidFill>
                      </wps:spPr>
                      <wps:bodyPr/>
                    </wps:wsp>
                  </a:graphicData>
                </a:graphic>
              </wp:anchor>
            </w:drawing>
          </mc:Choice>
          <mc:Fallback>
            <w:pict>
              <v:rect id="Shape 7" o:spid="_x0000_s1032" style="position:absolute;margin-left:-33pt;margin-top:-8.5999pt;width:16.05pt;height: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3" w:lineRule="exact"/>
        <w:rPr>
          <w:sz w:val="20"/>
          <w:szCs w:val="20"/>
          <w:color w:val="auto"/>
        </w:rPr>
      </w:pPr>
    </w:p>
    <w:p>
      <w:pPr>
        <w:ind w:right="80"/>
        <w:spacing w:after="0" w:line="381" w:lineRule="auto"/>
        <w:rPr>
          <w:sz w:val="20"/>
          <w:szCs w:val="20"/>
          <w:color w:val="auto"/>
        </w:rPr>
      </w:pPr>
      <w:r>
        <w:rPr>
          <w:rFonts w:ascii="Arial" w:cs="Arial" w:eastAsia="Arial" w:hAnsi="Arial"/>
          <w:sz w:val="20"/>
          <w:szCs w:val="20"/>
          <w:color w:val="auto"/>
        </w:rPr>
        <w:t>The authors of the best presentations will have the opportunity to publish a manuscript in a special themed issue of the Journal "Physics of the Solid State" - Springer. The manuscripts will be considered after a standard peer review procedure in order to meet the scientific requirements of the Journal.</w:t>
      </w:r>
    </w:p>
    <w:p>
      <w:pPr>
        <w:spacing w:after="0" w:line="28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Conference Chair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874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8" o:spid="_x0000_s1033" style="position:absolute;margin-left:-33pt;margin-top:-8.5999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29" w:lineRule="exact"/>
        <w:rPr>
          <w:sz w:val="20"/>
          <w:szCs w:val="20"/>
          <w:color w:val="auto"/>
        </w:rPr>
      </w:pPr>
    </w:p>
    <w:p>
      <w:pPr>
        <w:spacing w:after="0"/>
        <w:rPr>
          <w:sz w:val="20"/>
          <w:szCs w:val="20"/>
          <w:color w:val="auto"/>
        </w:rPr>
      </w:pPr>
      <w:r>
        <w:rPr>
          <w:rFonts w:ascii="Arial" w:cs="Arial" w:eastAsia="Arial" w:hAnsi="Arial"/>
          <w:sz w:val="20"/>
          <w:szCs w:val="20"/>
          <w:color w:val="auto"/>
        </w:rPr>
        <w:t xml:space="preserve">Sergey </w:t>
      </w:r>
      <w:r>
        <w:rPr>
          <w:rFonts w:ascii="Arial" w:cs="Arial" w:eastAsia="Arial" w:hAnsi="Arial"/>
          <w:sz w:val="20"/>
          <w:szCs w:val="20"/>
          <w:color w:val="auto"/>
        </w:rPr>
        <w:t>А</w:t>
      </w:r>
      <w:r>
        <w:rPr>
          <w:rFonts w:ascii="Arial" w:cs="Arial" w:eastAsia="Arial" w:hAnsi="Arial"/>
          <w:sz w:val="20"/>
          <w:szCs w:val="20"/>
          <w:color w:val="auto"/>
        </w:rPr>
        <w:t>. Kukushkin (Institute of Problems of Mechanical Engineering, Russia)</w:t>
      </w: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Conference Vice-Chair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937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9375"/>
                        </a:xfrm>
                        <a:prstGeom prst="rect">
                          <a:avLst/>
                        </a:prstGeom>
                        <a:solidFill>
                          <a:srgbClr val="000000"/>
                        </a:solidFill>
                      </wps:spPr>
                      <wps:bodyPr/>
                    </wps:wsp>
                  </a:graphicData>
                </a:graphic>
              </wp:anchor>
            </w:drawing>
          </mc:Choice>
          <mc:Fallback>
            <w:pict>
              <v:rect id="Shape 9" o:spid="_x0000_s1034" style="position:absolute;margin-left:-33pt;margin-top:-8.5999pt;width:16.05pt;height: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2" w:lineRule="exact"/>
        <w:rPr>
          <w:sz w:val="20"/>
          <w:szCs w:val="20"/>
          <w:color w:val="auto"/>
        </w:rPr>
      </w:pPr>
    </w:p>
    <w:p>
      <w:pPr>
        <w:spacing w:after="0"/>
        <w:rPr>
          <w:sz w:val="20"/>
          <w:szCs w:val="20"/>
          <w:color w:val="auto"/>
        </w:rPr>
      </w:pPr>
      <w:r>
        <w:rPr>
          <w:rFonts w:ascii="Arial" w:cs="Arial" w:eastAsia="Arial" w:hAnsi="Arial"/>
          <w:sz w:val="20"/>
          <w:szCs w:val="20"/>
          <w:color w:val="auto"/>
        </w:rPr>
        <w:t>Dr.Sci. A.V. Osipov (Institute of Problems of Mechanical Engineering, Russia)</w:t>
      </w: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International Advisory Board: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874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10" o:spid="_x0000_s1035" style="position:absolute;margin-left:-33pt;margin-top:-8.5999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520"/>
          </w:cols>
          <w:pgMar w:left="660" w:top="996" w:right="726" w:bottom="82" w:gutter="0" w:footer="0" w:header="0"/>
        </w:sectPr>
      </w:pPr>
    </w:p>
    <w:p>
      <w:pPr>
        <w:spacing w:after="0" w:line="232" w:lineRule="exact"/>
        <w:rPr>
          <w:sz w:val="20"/>
          <w:szCs w:val="20"/>
          <w:color w:val="auto"/>
        </w:rPr>
      </w:pPr>
    </w:p>
    <w:p>
      <w:pPr>
        <w:spacing w:after="0"/>
        <w:rPr>
          <w:sz w:val="20"/>
          <w:szCs w:val="20"/>
          <w:color w:val="auto"/>
        </w:rPr>
      </w:pPr>
      <w:r>
        <w:rPr>
          <w:rFonts w:ascii="Arial" w:cs="Arial" w:eastAsia="Arial" w:hAnsi="Arial"/>
          <w:sz w:val="20"/>
          <w:szCs w:val="20"/>
          <w:color w:val="auto"/>
        </w:rPr>
        <w:t>Abyzov A. S. (Ukraine),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Buravlev A.D., prof.</w:t>
      </w:r>
    </w:p>
    <w:p>
      <w:pPr>
        <w:spacing w:after="0" w:line="127" w:lineRule="exact"/>
        <w:rPr>
          <w:sz w:val="20"/>
          <w:szCs w:val="20"/>
          <w:color w:val="auto"/>
        </w:rPr>
      </w:pPr>
    </w:p>
    <w:p>
      <w:pPr>
        <w:ind w:right="100"/>
        <w:spacing w:after="0" w:line="414" w:lineRule="auto"/>
        <w:rPr>
          <w:sz w:val="20"/>
          <w:szCs w:val="20"/>
          <w:color w:val="auto"/>
        </w:rPr>
      </w:pPr>
      <w:r>
        <w:rPr>
          <w:rFonts w:ascii="Arial" w:cs="Arial" w:eastAsia="Arial" w:hAnsi="Arial"/>
          <w:sz w:val="18"/>
          <w:szCs w:val="18"/>
          <w:color w:val="auto"/>
        </w:rPr>
        <w:t>Chernov A.A. (USA), corr. member Churbanov M. F. , acad.</w:t>
      </w:r>
    </w:p>
    <w:p>
      <w:pPr>
        <w:ind w:right="500"/>
        <w:spacing w:after="0" w:line="392" w:lineRule="auto"/>
        <w:rPr>
          <w:sz w:val="20"/>
          <w:szCs w:val="20"/>
          <w:color w:val="auto"/>
        </w:rPr>
      </w:pPr>
      <w:r>
        <w:rPr>
          <w:rFonts w:ascii="Arial" w:cs="Arial" w:eastAsia="Arial" w:hAnsi="Arial"/>
          <w:sz w:val="19"/>
          <w:szCs w:val="19"/>
          <w:color w:val="auto"/>
        </w:rPr>
        <w:t>Cirlin G.E., prof. Dubrovskii V. G., prof. Glas F. (France) ,prof. Gusarov V. V., corr. member Ievlev V. M., acad. Kashchiev D. (Bulgaria),prof. Kaplyanskiy A.A., acad. Klimov D.M., acad.</w:t>
      </w:r>
    </w:p>
    <w:p>
      <w:pPr>
        <w:spacing w:after="0" w:line="2" w:lineRule="exact"/>
        <w:rPr>
          <w:sz w:val="20"/>
          <w:szCs w:val="20"/>
          <w:color w:val="auto"/>
        </w:rPr>
      </w:pPr>
    </w:p>
    <w:p>
      <w:pPr>
        <w:ind w:right="540"/>
        <w:spacing w:after="0" w:line="460" w:lineRule="auto"/>
        <w:rPr>
          <w:sz w:val="20"/>
          <w:szCs w:val="20"/>
          <w:color w:val="auto"/>
        </w:rPr>
      </w:pPr>
      <w:r>
        <w:rPr>
          <w:rFonts w:ascii="Arial" w:cs="Arial" w:eastAsia="Arial" w:hAnsi="Arial"/>
          <w:sz w:val="18"/>
          <w:szCs w:val="18"/>
          <w:color w:val="auto"/>
        </w:rPr>
        <w:t>Koverda V. P., corr.member Krasilinik Z. F., corr.member</w:t>
      </w:r>
    </w:p>
    <w:p>
      <w:pPr>
        <w:spacing w:after="0" w:line="20" w:lineRule="exact"/>
        <w:rPr>
          <w:sz w:val="20"/>
          <w:szCs w:val="20"/>
          <w:color w:val="auto"/>
        </w:rPr>
      </w:pPr>
      <w:r>
        <w:rPr>
          <w:sz w:val="20"/>
          <w:szCs w:val="20"/>
          <w:color w:val="auto"/>
        </w:rPr>
        <w:br w:type="column"/>
      </w:r>
    </w:p>
    <w:p>
      <w:pPr>
        <w:spacing w:after="0" w:line="211" w:lineRule="exact"/>
        <w:rPr>
          <w:sz w:val="20"/>
          <w:szCs w:val="20"/>
          <w:color w:val="auto"/>
        </w:rPr>
      </w:pPr>
    </w:p>
    <w:p>
      <w:pPr>
        <w:spacing w:after="0"/>
        <w:rPr>
          <w:sz w:val="20"/>
          <w:szCs w:val="20"/>
          <w:color w:val="auto"/>
        </w:rPr>
      </w:pPr>
      <w:r>
        <w:rPr>
          <w:rFonts w:ascii="Arial" w:cs="Arial" w:eastAsia="Arial" w:hAnsi="Arial"/>
          <w:sz w:val="20"/>
          <w:szCs w:val="20"/>
          <w:color w:val="auto"/>
        </w:rPr>
        <w:t>Morozov N.F., acad.</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Neimark A.V.,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Rusanov A. I. , acad.</w:t>
      </w:r>
    </w:p>
    <w:p>
      <w:pPr>
        <w:spacing w:after="0" w:line="127" w:lineRule="exact"/>
        <w:rPr>
          <w:sz w:val="20"/>
          <w:szCs w:val="20"/>
          <w:color w:val="auto"/>
        </w:rPr>
      </w:pPr>
    </w:p>
    <w:p>
      <w:pPr>
        <w:spacing w:after="0"/>
        <w:rPr>
          <w:sz w:val="20"/>
          <w:szCs w:val="20"/>
          <w:color w:val="auto"/>
        </w:rPr>
      </w:pPr>
      <w:r>
        <w:rPr>
          <w:rFonts w:ascii="Arial" w:cs="Arial" w:eastAsia="Arial" w:hAnsi="Arial"/>
          <w:sz w:val="17"/>
          <w:szCs w:val="17"/>
          <w:color w:val="auto"/>
        </w:rPr>
        <w:t>Schmelzer J. W. P. (Germany), prof.</w:t>
      </w:r>
    </w:p>
    <w:p>
      <w:pPr>
        <w:spacing w:after="0" w:line="162" w:lineRule="exact"/>
        <w:rPr>
          <w:sz w:val="20"/>
          <w:szCs w:val="20"/>
          <w:color w:val="auto"/>
        </w:rPr>
      </w:pPr>
    </w:p>
    <w:p>
      <w:pPr>
        <w:spacing w:after="0"/>
        <w:rPr>
          <w:sz w:val="20"/>
          <w:szCs w:val="20"/>
          <w:color w:val="auto"/>
        </w:rPr>
      </w:pPr>
      <w:r>
        <w:rPr>
          <w:rFonts w:ascii="Arial" w:cs="Arial" w:eastAsia="Arial" w:hAnsi="Arial"/>
          <w:sz w:val="20"/>
          <w:szCs w:val="20"/>
          <w:color w:val="auto"/>
        </w:rPr>
        <w:t>Shchekin A. K., corr. member</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Shi F. (USA),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Smirnov B. M.,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Spitsin B.V.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Suris R. A., acad.</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Umantsev A. R. (USA),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Ustinov V.M, corr.member</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Zakharov A. Y., prof.</w:t>
      </w:r>
    </w:p>
    <w:p>
      <w:pPr>
        <w:spacing w:after="0" w:line="127" w:lineRule="exact"/>
        <w:rPr>
          <w:sz w:val="20"/>
          <w:szCs w:val="20"/>
          <w:color w:val="auto"/>
        </w:rPr>
      </w:pPr>
    </w:p>
    <w:p>
      <w:pPr>
        <w:spacing w:after="0"/>
        <w:rPr>
          <w:sz w:val="20"/>
          <w:szCs w:val="20"/>
          <w:color w:val="auto"/>
        </w:rPr>
      </w:pPr>
      <w:r>
        <w:rPr>
          <w:rFonts w:ascii="Arial" w:cs="Arial" w:eastAsia="Arial" w:hAnsi="Arial"/>
          <w:sz w:val="20"/>
          <w:szCs w:val="20"/>
          <w:color w:val="auto"/>
        </w:rPr>
        <w:t>Zlomanov V. P., prof.</w:t>
      </w:r>
    </w:p>
    <w:p>
      <w:pPr>
        <w:spacing w:after="0" w:line="764" w:lineRule="exact"/>
        <w:rPr>
          <w:sz w:val="20"/>
          <w:szCs w:val="20"/>
          <w:color w:val="auto"/>
        </w:rPr>
      </w:pPr>
    </w:p>
    <w:p>
      <w:pPr>
        <w:sectPr>
          <w:pgSz w:w="11900" w:h="16838" w:orient="portrait"/>
          <w:cols w:equalWidth="0" w:num="2">
            <w:col w:w="2860" w:space="720"/>
            <w:col w:w="6940"/>
          </w:cols>
          <w:pgMar w:left="660" w:top="996" w:right="726" w:bottom="82" w:gutter="0" w:footer="0" w:header="0"/>
          <w:type w:val="continuous"/>
        </w:sectPr>
      </w:pPr>
    </w:p>
    <w:p>
      <w:pPr>
        <w:spacing w:after="0" w:line="3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Local Organizing Committee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-419100</wp:posOffset>
                </wp:positionH>
                <wp:positionV relativeFrom="paragraph">
                  <wp:posOffset>-109220</wp:posOffset>
                </wp:positionV>
                <wp:extent cx="203835" cy="7874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03835" cy="78740"/>
                        </a:xfrm>
                        <a:prstGeom prst="rect">
                          <a:avLst/>
                        </a:prstGeom>
                        <a:solidFill>
                          <a:srgbClr val="000000"/>
                        </a:solidFill>
                      </wps:spPr>
                      <wps:bodyPr/>
                    </wps:wsp>
                  </a:graphicData>
                </a:graphic>
              </wp:anchor>
            </w:drawing>
          </mc:Choice>
          <mc:Fallback>
            <w:pict>
              <v:rect id="Shape 11" o:spid="_x0000_s1036" style="position:absolute;margin-left:-33pt;margin-top:-8.5999pt;width:16.05pt;height:6.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33" w:lineRule="exact"/>
        <w:rPr>
          <w:sz w:val="20"/>
          <w:szCs w:val="20"/>
          <w:color w:val="auto"/>
        </w:rPr>
      </w:pPr>
    </w:p>
    <w:p>
      <w:pPr>
        <w:ind w:right="140"/>
        <w:spacing w:after="0" w:line="390" w:lineRule="auto"/>
        <w:rPr>
          <w:sz w:val="20"/>
          <w:szCs w:val="20"/>
          <w:color w:val="auto"/>
        </w:rPr>
      </w:pPr>
      <w:r>
        <w:rPr>
          <w:rFonts w:ascii="Arial" w:cs="Arial" w:eastAsia="Arial" w:hAnsi="Arial"/>
          <w:sz w:val="20"/>
          <w:szCs w:val="20"/>
          <w:color w:val="auto"/>
        </w:rPr>
        <w:t>Dr.Sci. Prof. S.A. Kukushkin (chairman), Dr.Sci. A.V. Osipov (vice-chairman), Ph.D. A.V. Redkov, A.S. Grashchenko, R.S. Telyatnik, T.V. Lavrova, A.V. Kandakov, A.Y. Smolnikov, A.A. Koryakin</w:t>
      </w:r>
    </w:p>
    <w:p>
      <w:pPr>
        <w:spacing w:after="0" w:line="67" w:lineRule="exact"/>
        <w:rPr>
          <w:sz w:val="20"/>
          <w:szCs w:val="20"/>
          <w:color w:val="auto"/>
        </w:rPr>
      </w:pPr>
    </w:p>
    <w:p>
      <w:pPr>
        <w:ind w:right="620"/>
        <w:spacing w:after="0" w:line="423" w:lineRule="auto"/>
        <w:rPr>
          <w:sz w:val="20"/>
          <w:szCs w:val="20"/>
          <w:color w:val="auto"/>
        </w:rPr>
      </w:pPr>
      <w:r>
        <w:rPr>
          <w:rFonts w:ascii="Arial" w:cs="Arial" w:eastAsia="Arial" w:hAnsi="Arial"/>
          <w:sz w:val="19"/>
          <w:szCs w:val="19"/>
          <w:color w:val="auto"/>
        </w:rPr>
        <w:t>Laboratory of Structural and Phase Transitions in Condensed Media, Institute of Problems of Mechanical Engineering RAS sponsored by Russian Foundation for Basic Research, Scientific-Technical Center, New technologies". Ltd.</w:t>
      </w:r>
    </w:p>
    <w:p>
      <w:pPr>
        <w:sectPr>
          <w:pgSz w:w="11900" w:h="16838" w:orient="portrait"/>
          <w:cols w:equalWidth="0" w:num="1">
            <w:col w:w="10520"/>
          </w:cols>
          <w:pgMar w:left="660" w:top="996" w:right="726" w:bottom="82" w:gutter="0" w:footer="0" w:header="0"/>
          <w:type w:val="continuous"/>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560310" cy="1069213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4"/>
          <w:szCs w:val="24"/>
          <w:b w:val="1"/>
          <w:bCs w:val="1"/>
          <w:color w:val="FFFFFF"/>
        </w:rPr>
        <w:t>CONTACTS</w:t>
      </w:r>
    </w:p>
    <w:p>
      <w:pPr>
        <w:spacing w:after="0" w:line="248" w:lineRule="exact"/>
        <w:rPr>
          <w:sz w:val="20"/>
          <w:szCs w:val="20"/>
          <w:color w:val="auto"/>
        </w:rPr>
      </w:pPr>
    </w:p>
    <w:p>
      <w:pPr>
        <w:jc w:val="center"/>
        <w:ind w:right="6"/>
        <w:spacing w:after="0"/>
        <w:rPr>
          <w:sz w:val="20"/>
          <w:szCs w:val="20"/>
          <w:color w:val="auto"/>
        </w:rPr>
      </w:pPr>
      <w:r>
        <w:rPr>
          <w:rFonts w:ascii="Arial" w:cs="Arial" w:eastAsia="Arial" w:hAnsi="Arial"/>
          <w:sz w:val="20"/>
          <w:szCs w:val="20"/>
          <w:color w:val="FFFFFF"/>
        </w:rPr>
        <w:t>Rustour LLC, Monomax Group - member of the</w:t>
      </w:r>
    </w:p>
    <w:p>
      <w:pPr>
        <w:spacing w:after="0" w:line="127" w:lineRule="exact"/>
        <w:rPr>
          <w:sz w:val="20"/>
          <w:szCs w:val="20"/>
          <w:color w:val="auto"/>
        </w:rPr>
      </w:pPr>
    </w:p>
    <w:p>
      <w:pPr>
        <w:jc w:val="center"/>
        <w:ind w:right="-13"/>
        <w:spacing w:after="0"/>
        <w:rPr>
          <w:sz w:val="20"/>
          <w:szCs w:val="20"/>
          <w:color w:val="auto"/>
        </w:rPr>
      </w:pPr>
      <w:r>
        <w:rPr>
          <w:rFonts w:ascii="Arial" w:cs="Arial" w:eastAsia="Arial" w:hAnsi="Arial"/>
          <w:sz w:val="18"/>
          <w:szCs w:val="18"/>
          <w:color w:val="FFFFFF"/>
        </w:rPr>
        <w:t>International Congress &amp; Convention Association (ICCA).</w:t>
      </w:r>
    </w:p>
    <w:p>
      <w:pPr>
        <w:spacing w:after="0" w:line="200" w:lineRule="exact"/>
        <w:rPr>
          <w:sz w:val="20"/>
          <w:szCs w:val="20"/>
          <w:color w:val="auto"/>
        </w:rPr>
      </w:pPr>
    </w:p>
    <w:p>
      <w:pPr>
        <w:spacing w:after="0" w:line="322" w:lineRule="exact"/>
        <w:rPr>
          <w:sz w:val="20"/>
          <w:szCs w:val="20"/>
          <w:color w:val="auto"/>
        </w:rPr>
      </w:pPr>
    </w:p>
    <w:p>
      <w:pPr>
        <w:jc w:val="center"/>
        <w:ind w:right="6"/>
        <w:spacing w:after="0"/>
        <w:rPr>
          <w:sz w:val="20"/>
          <w:szCs w:val="20"/>
          <w:color w:val="auto"/>
        </w:rPr>
      </w:pPr>
      <w:r>
        <w:rPr>
          <w:rFonts w:ascii="Arial" w:cs="Arial" w:eastAsia="Arial" w:hAnsi="Arial"/>
          <w:sz w:val="20"/>
          <w:szCs w:val="20"/>
          <w:color w:val="FFFFFF"/>
        </w:rPr>
        <w:t>Conference manager:</w:t>
      </w:r>
    </w:p>
    <w:p>
      <w:pPr>
        <w:spacing w:after="0" w:line="123" w:lineRule="exact"/>
        <w:rPr>
          <w:sz w:val="20"/>
          <w:szCs w:val="20"/>
          <w:color w:val="auto"/>
        </w:rPr>
      </w:pPr>
    </w:p>
    <w:p>
      <w:pPr>
        <w:jc w:val="center"/>
        <w:ind w:right="6"/>
        <w:spacing w:after="0"/>
        <w:rPr>
          <w:sz w:val="20"/>
          <w:szCs w:val="20"/>
          <w:color w:val="auto"/>
        </w:rPr>
      </w:pPr>
      <w:r>
        <w:rPr>
          <w:rFonts w:ascii="Arial" w:cs="Arial" w:eastAsia="Arial" w:hAnsi="Arial"/>
          <w:sz w:val="20"/>
          <w:szCs w:val="20"/>
          <w:b w:val="1"/>
          <w:bCs w:val="1"/>
          <w:color w:val="FFFFFF"/>
        </w:rPr>
        <w:t>Darya Davydova</w:t>
      </w:r>
    </w:p>
    <w:p>
      <w:pPr>
        <w:spacing w:after="0" w:line="127" w:lineRule="exact"/>
        <w:rPr>
          <w:sz w:val="20"/>
          <w:szCs w:val="20"/>
          <w:color w:val="auto"/>
        </w:rPr>
      </w:pPr>
    </w:p>
    <w:p>
      <w:pPr>
        <w:jc w:val="center"/>
        <w:ind w:right="6"/>
        <w:spacing w:after="0"/>
        <w:rPr>
          <w:sz w:val="20"/>
          <w:szCs w:val="20"/>
          <w:color w:val="auto"/>
        </w:rPr>
      </w:pPr>
      <w:r>
        <w:rPr>
          <w:rFonts w:ascii="Arial" w:cs="Arial" w:eastAsia="Arial" w:hAnsi="Arial"/>
          <w:sz w:val="20"/>
          <w:szCs w:val="20"/>
          <w:b w:val="1"/>
          <w:bCs w:val="1"/>
          <w:color w:val="FFFFFF"/>
        </w:rPr>
        <w:t>+7 812 335 2055, ext. 206</w:t>
      </w:r>
    </w:p>
    <w:p>
      <w:pPr>
        <w:spacing w:after="0" w:line="127" w:lineRule="exact"/>
        <w:rPr>
          <w:sz w:val="20"/>
          <w:szCs w:val="20"/>
          <w:color w:val="auto"/>
        </w:rPr>
      </w:pPr>
    </w:p>
    <w:p>
      <w:pPr>
        <w:jc w:val="center"/>
        <w:ind w:right="6"/>
        <w:spacing w:after="0"/>
        <w:rPr>
          <w:sz w:val="20"/>
          <w:szCs w:val="20"/>
          <w:color w:val="auto"/>
        </w:rPr>
      </w:pPr>
      <w:r>
        <w:rPr>
          <w:rFonts w:ascii="Arial" w:cs="Arial" w:eastAsia="Arial" w:hAnsi="Arial"/>
          <w:sz w:val="20"/>
          <w:szCs w:val="20"/>
          <w:b w:val="1"/>
          <w:bCs w:val="1"/>
          <w:color w:val="FFFFFF"/>
        </w:rPr>
        <w:t>MGCTF@onlinereg.ru</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jc w:val="center"/>
        <w:ind w:right="6"/>
        <w:spacing w:after="0"/>
        <w:rPr>
          <w:sz w:val="20"/>
          <w:szCs w:val="20"/>
          <w:color w:val="auto"/>
        </w:rPr>
      </w:pPr>
      <w:r>
        <w:rPr>
          <w:rFonts w:ascii="Arial" w:cs="Arial" w:eastAsia="Arial" w:hAnsi="Arial"/>
          <w:sz w:val="20"/>
          <w:szCs w:val="20"/>
          <w:b w:val="1"/>
          <w:bCs w:val="1"/>
          <w:color w:val="FFFFFF"/>
        </w:rPr>
        <w:t>www.mgctf.ru</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decimal"/>
      <w:start w:val="1"/>
    </w:lvl>
  </w:abstractNum>
  <w:abstractNum w:abstractNumId="1">
    <w:nsid w:val="19495CFF"/>
    <w:multiLevelType w:val="hybridMultilevel"/>
    <w:lvl w:ilvl="0">
      <w:lvlJc w:val="left"/>
      <w:lvlText w:val="%1."/>
      <w:numFmt w:val="decimal"/>
      <w:start w:val="2"/>
    </w:lvl>
  </w:abstractNum>
  <w:abstractNum w:abstractNumId="2">
    <w:nsid w:val="2AE8944A"/>
    <w:multiLevelType w:val="hybridMultilevel"/>
    <w:lvl w:ilvl="0">
      <w:lvlJc w:val="left"/>
      <w:lvlText w:val="%1."/>
      <w:numFmt w:val="decimal"/>
      <w:start w:val="3"/>
    </w:lvl>
  </w:abstractNum>
  <w:abstractNum w:abstractNumId="3">
    <w:nsid w:val="625558E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2018-10-27T12:11:55Z</dcterms:created>
  <dcterms:modified xsi:type="dcterms:W3CDTF">2018-10-27T12:11:55Z</dcterms:modified>
</cp:coreProperties>
</file>