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2A" w:rsidRPr="0019492A" w:rsidRDefault="0019492A" w:rsidP="001949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t>IV Международная научная конференция</w:t>
      </w:r>
      <w:r w:rsidRPr="0019492A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br/>
        <w:t>"Информатизация образования и методика электронного обучения: цифровые технологии в образовании"</w:t>
      </w:r>
    </w:p>
    <w:p w:rsidR="0019492A" w:rsidRDefault="0019492A" w:rsidP="0019492A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19492A" w:rsidRPr="0019492A" w:rsidRDefault="0019492A" w:rsidP="0019492A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Сибирский федеральный университет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кибернетики и образовательной информатики им. А. И. Берга ФИЦ ИУ РАН</w:t>
      </w:r>
    </w:p>
    <w:p w:rsidR="0019492A" w:rsidRPr="0019492A" w:rsidRDefault="0019492A" w:rsidP="0019492A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06 - 09 октября 2020 года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Красноярск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конференции –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обсуждение широкого круга вопросов, связанных с современным состоянием цифровой трансформации образования, включающих перспективные цифровые обучающие среды и системы, наделенные способностями к анализу сведений о пользователях.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Информационную поддержку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конференции оказывает журнал «Информатика и образование», в котором будут опубликованы избранные статьи, отобранные по материалам конференции.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00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Секции конференции: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Информатизация методических систем обучения в предметной области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цифровые ресурсы предметных областей и </w:t>
      </w:r>
      <w:proofErr w:type="spellStart"/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метапредметное</w:t>
      </w:r>
      <w:proofErr w:type="spellEnd"/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применение цифровых ресурсов в образовании;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нового программного обеспечения поддержки учебного процесса;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виртуализация и дополненная реальность в обучении;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 обеспечения сетевых методов обучения;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методик электронного обучения в предметных областях.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Цифровая дидактика. Диагностика процесса и результатов обучения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автоматизация управления образовательным процессом и автоматизированные системы обучения;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адаптивных и интеллектуальных обучающих систем и методика их внедрения;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математические модели учебного процесса и обучаемого;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цифровые платформы обучения, анализ образовательных данных и прогнозирование результатов обучения.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Библиотечные смарт-системы: цифровые образовательные источники и средства управления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ими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информационная поддержка и программное обеспечение работы библиотек;</w:t>
      </w:r>
    </w:p>
    <w:p w:rsidR="0019492A" w:rsidRPr="0019492A" w:rsidRDefault="0019492A" w:rsidP="0019492A">
      <w:pPr>
        <w:spacing w:after="0" w:line="240" w:lineRule="auto"/>
        <w:ind w:left="180" w:right="165" w:firstLine="38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lastRenderedPageBreak/>
        <w:t></w:t>
      </w:r>
      <w:r w:rsidRPr="001949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оптимизация работы электронной библиотеки в структуре библиотеки ВУЗа.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Методологические и организационные вопросы цифровой трансформации образования в школе: ресурсы и перспектива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Место проведения:</w:t>
      </w:r>
      <w:r w:rsidRPr="0019492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 Россия, г. Красноярск, Сибирский федеральный университет, Институт космических и информационных технологий, ул. Академика Киренского, 26Б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Время проведения: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06–09 октября 2020 г.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Рабочие языки конференции: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русский, английский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участия: 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 (устный и стендовый доклады), заочная и дистанционная (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on-line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9492A" w:rsidRPr="0019492A" w:rsidRDefault="0019492A" w:rsidP="0019492A">
      <w:pPr>
        <w:shd w:val="clear" w:color="auto" w:fill="FFFFFF"/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взнос для граждан России и стран СНГ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очном участии организационный взнос составляет 1200 руб. Организационный взнос включает: публикацию материалов объемом до 4 </w:t>
      </w:r>
      <w:proofErr w:type="spellStart"/>
      <w:proofErr w:type="gramStart"/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</w:t>
      </w:r>
      <w:proofErr w:type="spellEnd"/>
      <w:proofErr w:type="gramEnd"/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кофе-брейк, фуршет.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программе конференции предусмотрен экскурсионный день. Предлагается на выбор две экскурсии: в заповедник «Столбы» или экскурсия на Красноярскую ГЭС. По погодным условиям эти экскурсии могут быть заменены на экскурсию по г. Красноярску. Организационный взнос с включением экскурсии  – 1700 руб.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заочном или дистанционном участии организационный взнос составляет 750  руб. Организационный взнос включает: публикацию материалов объемом до 4 стр. (вместе со списком литературы)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Ключевые даты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5493"/>
      </w:tblGrid>
      <w:tr w:rsidR="0019492A" w:rsidRPr="0019492A" w:rsidTr="0019492A">
        <w:trPr>
          <w:jc w:val="center"/>
        </w:trPr>
        <w:tc>
          <w:tcPr>
            <w:tcW w:w="319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 января 2020 г.</w:t>
            </w:r>
          </w:p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февраля 2020 г.</w:t>
            </w:r>
          </w:p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9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предварительной программы конференции</w:t>
            </w:r>
          </w:p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начало регистрации участников и прием материалов на сайте конференции</w:t>
            </w:r>
          </w:p>
        </w:tc>
      </w:tr>
      <w:tr w:rsidR="0019492A" w:rsidRPr="0019492A" w:rsidTr="0019492A">
        <w:trPr>
          <w:jc w:val="center"/>
        </w:trPr>
        <w:tc>
          <w:tcPr>
            <w:tcW w:w="319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 августа</w:t>
            </w: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619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 </w:t>
            </w: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завершение регистрации участников и приема материалов</w:t>
            </w:r>
          </w:p>
        </w:tc>
      </w:tr>
      <w:tr w:rsidR="0019492A" w:rsidRPr="0019492A" w:rsidTr="0019492A">
        <w:trPr>
          <w:jc w:val="center"/>
        </w:trPr>
        <w:tc>
          <w:tcPr>
            <w:tcW w:w="319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 августа</w:t>
            </w: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619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публикация программы конференции</w:t>
            </w:r>
          </w:p>
        </w:tc>
      </w:tr>
      <w:tr w:rsidR="0019492A" w:rsidRPr="0019492A" w:rsidTr="0019492A">
        <w:trPr>
          <w:jc w:val="center"/>
        </w:trPr>
        <w:tc>
          <w:tcPr>
            <w:tcW w:w="319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06–09 октября</w:t>
            </w: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619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19492A" w:rsidRPr="0019492A" w:rsidRDefault="0019492A" w:rsidP="0019492A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 </w:t>
            </w:r>
            <w:r w:rsidRPr="00194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конференции</w:t>
            </w:r>
          </w:p>
        </w:tc>
      </w:tr>
    </w:tbl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началу работы конференции планируется издание сборника материалов конференции, которому присваивается ISBN. Материалы будут размещены в базу РИНЦ.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Программный комитет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Председатель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 Алексей Львович — академик РАН, академик РАО, д-р физ.-мат. наук, профессор, директор Института кибернетики и образовательной информатики им. А. И. Берга ФИЦ ИУ РАН, Москва, Россия;</w:t>
      </w:r>
      <w:proofErr w:type="gramEnd"/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Заместитель председателя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Кытманов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Александрович — д-р физ. - мат. наук, профессор, директор Института космических и информационных технологий Сибирского федерального университета, Красноярск, Россия.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Состав комитета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 Дмитрий Александрович — член-корр. РАН, профессор, Институт проблем управления РАН им. В. А. Трапезникова, Москва,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Лапчик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Павлович — академик РАО, профессор, Омский педагогический государственный университет, Омск,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Смолянинова Ольга Георгиевна — академик РАО, профессор, Сибирский федеральный университет, Красноярск,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 Сергей Георгиевич — член-корр. РАО, профессор, Московский городской педагогический университет, Москва,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Хеннер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Евгений Карлович — член-корр. РАО, профессор, Пермский государственный национальный исследовательский университет, Пермь,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Гриншкун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 Валерьевич — член-корр. РАО, профессор, Московский городской педагогический университет, Москва,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Асланов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Рамиз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Муталлим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профессор, Институт математики и механики Национальной академии наук Азербайджана, Баку, Азербайджан;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Бровка Наталья Владимировна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—п</w:t>
      </w:r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рофессор, Белорусский государственный университет, Минск, Беларусь;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Бидайбеков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Есен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Ыкласович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профессор, Казахский национальный педагогический университет им. Абая, Алматы, Казахстан;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Forkosh-Baruch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Alona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профессор,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Tel-Aviv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University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Israel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Grozdev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Sava — 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VUZF University - Sofia, 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София</w:t>
      </w: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Bulgaria;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Коляда Михаил Георгиевич — профессор, Донецкий национальный университет, Донецк, Украина;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Минин Михаил Григорьевич — профессор, Национальный исследовательский Томский политехнический университет, Томск,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 Николай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Инсебович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профессор, Красноярский государственный педагогический университет им. В. П. Астафьева, Красноярск,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Пардала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Антони — профессор,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Жешувский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политехнический университет им. И.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Лукасевича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, Жешув, Польша;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Сатторов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Абдурасал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Эшбекович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профессор, Курган-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Тюбинскй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 им.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Носира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Хусрава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</w:t>
      </w: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Тюбе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Таджикистан</w:t>
      </w: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Sergeyev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Yaroslav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— Head of Numerical Calculus Laboratory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Dipartimento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di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Ingegneria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Informatica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Modellistica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Elettronica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e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Sistemistica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Università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della</w:t>
      </w:r>
      <w:proofErr w:type="spellEnd"/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Calabria,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Rende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Italy;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Stoyanov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Stanimir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— Head of Department Computer Systems, Plovdiv University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Paisii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Hiledarski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Plovdiv, Bulgaria;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Тихомиров Сергей Александрович — доцент, Ярославский государственный педагогический университет им. К. Д. Ушинского, Ярославль,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Tomski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Grigori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профессор, Международная академия CONCORDE,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Paris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France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Каракозов Сергей Дмитриевич — профессор, Московский педагогический государственный университет, Москва,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Уваров Александр Юрьевич – профессор, Институт кибернетики и образовательной информатики им. А. И. Берга ФИЦ ИУ РАН, Москва,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Шрайберг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Яков Леонидович – профессор, научный руководитель ГПНТБ России, Москва, Россия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Оргкомитет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Председатель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: Носков Михаил Валерианович – д-р физ.-мат. наук, профессор, руководитель научно-учебной лаборатории «Методика электронного обучения» кафедры прикладной математики и компьютерной безопасности ИКИТ СФУ, Красноярск, Россия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Заместитель председателя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   Шершнева Виктория Анатольевна – д-р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наук, профессор, профессор кафедры прикладной математики и компьютерной безопасности ИКИТ СФУ, Красноярск, Россия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Состав комитета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Уваров Александр Юрьевич – д-р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наук, профессор, Институт кибернетики и образовательной информатики им. А. И. Берга ФИЦ ИУ РАН, Москва,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Вайнштейн Юлия Владимировна – канд.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наук, доцент, зам. директора ИКИТ СФУ, доцент научно-учебной лаборатории «Методика электронного обучения» кафедры прикладной математики и компьютерной безопасности ИКИТ СФУ, Красноярск,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Есин Роман Витальевич – канд.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наук, старший преподаватель кафедры прикладной математики и компьютерной безопасности ИКИТ СФУ, Красноярск,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Киселев Олег Игоревич – зам. директора ИКИТ СФУ, Красноярск, Россия;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 Николаевич – директор библиотечно-издательского комплекса СФУ, Красноярск, Россия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Секретарь конференции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  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Кацунова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Анастасия Сергеевна – канд. физ.-мат. наук, доцент кафедры прикладной математики и компьютерной безопасности ИКИТ СФУ, Красноярск, Россия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оформлению докладов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Участники конференции! Обращаем Ваше внимание на необходимость соблюдения правил оформления работ. Доклады, оформленные не по правилам, приниматься к рассмотрению не будут.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оформлении материалов для публикации необходимо учитывать следующие требования и воспользоваться шаблоном статьи.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статьи — не более 4 страниц.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содержанию статей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должна начинаться с введения, в котором следует отразить постановку задачи исследования. Здесь следует обосновать актуальность проблемы, решаемой автором, указать современное состояние проблемы и охарактеризовать предложенное новое решение.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основном тексте статьи дается решение задачи, должны быть изложены и разъяснены полученные утверждения и результаты.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написании статей следует придерживаться специальной терминологии, характерной для той области знаний, тематике которой посвящена статья.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рекомендуется разбивать на разделы с названиями, отражающими их содержание. Статья может содержать иллюстративный материал (рисунки, схемы, графики), необходимый математический аппарат (формулы, зависимости), графические модели исследуемой проблемы.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Заключительная часть статьи должна содержать обсуждение полученных результатов, сведения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практической апробации.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Ссылки на литературу оформляются согласно ГОСТ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7.05–2008.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оформлению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должна быть подготовлена в редакторе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(XP/2003/2007) в форматах .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.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docx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Поля: верхнее — 2,8 см; нижнее — 2 см; левое — 3 см; правое — 2 см.</w:t>
      </w:r>
      <w:proofErr w:type="gramEnd"/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Начало статьи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Коды УДК.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Заголовок статьи (печатается прописными буквами, шрифт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кегль 14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полужирный, межстрочный интервал одинарный, выравнивание по центру).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об авторах. И. О. Фамилия автора/авторов (шрифт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кегль 12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полужирный, межстрочный интервал одинарный, выравнивание по центру). По каждому автору следует указывать ученую степень, ученое звание, должность. На следующей строке – контактная информация: телефон и адрес электронной почты. На третьей строке – название организации.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Аннотация объемом от 4 до 6 строк (перед аннотацией пропустить пустую строку, шрифт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кегль 11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обычный, межстрочный интервал одинарный, выравнивание по ширине страницы абзацный отступ 1,25 см).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Ключевые слова (шрифт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кегль 11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курсив).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Основной те</w:t>
      </w:r>
      <w:proofErr w:type="gramStart"/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кст ст</w:t>
      </w:r>
      <w:proofErr w:type="gramEnd"/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атьи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Шрифт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кегль 12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обычный, межстрочный интервал одинарный, выравнивание по ширине. Абзацный отступ 1,25 см. Названия разделов, пунктов и подпунктов печатаются шрифтом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кегль 12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полужирный, межстрочный интервал одинарный. Названия разделов отделяются от предыдущего раздела и от последующего текста пустой строкой. 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Названия пунктов и подпунктов пустыми строками не отделяются. В конце заголовка статьи, разделов, названий рисунков и таблиц точки не ставятся. Сноски в тексте статьи не допускаются.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Формулы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формулы, в том числе отдельные переменные, упоминаемые в тексте, должны быть набраны в редакторе формул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Equation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Высота шрифта 12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высота индексов 8 пт. Не допускается преобразование формулы в формат рисунка. Формулы, на которые в статье делаются ссылки, следует печатать с новой строки. В этом случае формулы располагаются строго по центру, номер формулы в скобках располагается по правому краю.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Таблицы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Заголовок таблицы состоит из слова «Таблица» и ее номера по порядку (выравнивание по правому краю) и названия (выравнивание по центру), шрифт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обычный, прямой, располагается над таблицей без отступа. Табличные данные выравниваются по центру или по левому краю (шрифт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). Единственная таблица не нумеруется, при ссылках в тексте на таблицу в этом случае слово «таблица» пишется без сокращения. Если таблиц несколько, то таблицы нумеруются, ссылка в тексте на таблицы выглядит так: «... в табл. 1 ...».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Рисунки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вставлены в текст в виде графических файлов в формате .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.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tif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рисунка помещается непосредственно под объектом (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полужирный, прямой) и не должно включаться в формат рисунка.</w:t>
      </w:r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Единственный рисунок подписывается словом «Рисунок», при ссылках слово «рисунок» пишется без сокращения. Если рисунков несколько, то рисунки нумеруются, ссылка в тексте на рисунки выглядит так: «... на рис. 2 ...».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Окончание статьи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Литература приводится в конце статьи. Список литературы должен быть составлен в порядке ссылок в тексте, которые помещаются в квадратные скобки, например: [1].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Литературные источники содержат фамилии и инициалы авторов, название статьи, название журнала или сборника, том, год, номер или выпуск, страницы, а для книг – фамилии и инициалы авторов, полное название книги, место издания, издательство, год, количество страниц.</w:t>
      </w:r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Шрифт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обычный. Оформление по ГОСТ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7.0.5-2008.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Заключительные данные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статьи размещаются данные на английском языке — Заголовок статьи, Имя О. Фамилия автора/авторов, ученая степень, ученое звание, должность, 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телефон и адрес электронной почты, название организации, Аннотация, Ключевые слова (вышеперечисленные пункты 2, 3, 4 и 5).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title of the article (Formatting: uppercase letters, font Times New Roman, 14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pt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bold, line spacing 1, align the text to the center).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author(</w:t>
      </w:r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-s) of the article. Name P. Surname of the author / of authors (Formatting: font Times New Roman, 12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pt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line spacing 1, align the text to the center). The following information is strongly required: academic degree and title; position and affiliation of every author. Next line – the contact information: phone number and an e-mail address. The third line – the name of the organization.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Abstract (4–6 lines) (skip an empty line before the abstract) Formatting: font Times New Roman, 11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pt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line spacing 1, align the text — Justify, Indent — 1</w:t>
      </w:r>
      <w:proofErr w:type="gram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,25</w:t>
      </w:r>
      <w:proofErr w:type="gram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cm.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Keywords (Formatting: font Times New Roman, 11 </w:t>
      </w:r>
      <w:proofErr w:type="spellStart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pt</w:t>
      </w:r>
      <w:proofErr w:type="spellEnd"/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line spacing 1, Italic).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Оргкомитета: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660074, г. Красноярск, ул. Киренского 26Б,  Сибирский федеральный университет, Институт космических и информационных технологий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Веб-сайт</w:t>
      </w: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hyperlink r:id="rId5" w:tgtFrame="_blank" w:history="1">
        <w:r w:rsidRPr="001949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http://conf.sfu-kras.ru/DTE-2020</w:t>
        </w:r>
      </w:hyperlink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Контактное лицо: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конференции </w:t>
      </w:r>
      <w:proofErr w:type="spellStart"/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Кацунова</w:t>
      </w:r>
      <w:proofErr w:type="spellEnd"/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Анастасия Сергеевна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949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shd w:val="clear" w:color="auto" w:fill="FFFFFF"/>
          <w:lang w:val="en-US" w:eastAsia="ru-RU"/>
        </w:rPr>
        <w:t>askatsunova</w:t>
      </w:r>
      <w:proofErr w:type="spellEnd"/>
      <w:r w:rsidRPr="001949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shd w:val="clear" w:color="auto" w:fill="FFFFFF"/>
          <w:lang w:eastAsia="ru-RU"/>
        </w:rPr>
        <w:t>@</w:t>
      </w:r>
      <w:proofErr w:type="spellStart"/>
      <w:r w:rsidRPr="001949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shd w:val="clear" w:color="auto" w:fill="FFFFFF"/>
          <w:lang w:val="en-US" w:eastAsia="ru-RU"/>
        </w:rPr>
        <w:t>gmail</w:t>
      </w:r>
      <w:proofErr w:type="spellEnd"/>
      <w:r w:rsidRPr="001949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shd w:val="clear" w:color="auto" w:fill="FFFFFF"/>
          <w:lang w:eastAsia="ru-RU"/>
        </w:rPr>
        <w:t>.</w:t>
      </w:r>
      <w:r w:rsidRPr="0019492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shd w:val="clear" w:color="auto" w:fill="FFFFFF"/>
          <w:lang w:val="en-US" w:eastAsia="ru-RU"/>
        </w:rPr>
        <w:t>com</w:t>
      </w:r>
    </w:p>
    <w:p w:rsidR="0019492A" w:rsidRPr="0019492A" w:rsidRDefault="0019492A" w:rsidP="0019492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4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+7(391)2912790</w:t>
      </w:r>
    </w:p>
    <w:p w:rsidR="00982FAD" w:rsidRDefault="00982FAD"/>
    <w:sectPr w:rsidR="0098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BC"/>
    <w:rsid w:val="0019492A"/>
    <w:rsid w:val="00982FAD"/>
    <w:rsid w:val="00B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19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9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49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19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9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49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f.sfu-kras.ru/DTE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2141</Words>
  <Characters>12205</Characters>
  <Application>Microsoft Office Word</Application>
  <DocSecurity>0</DocSecurity>
  <Lines>101</Lines>
  <Paragraphs>28</Paragraphs>
  <ScaleCrop>false</ScaleCrop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2020-06-26T07:33:00Z</dcterms:created>
  <dcterms:modified xsi:type="dcterms:W3CDTF">2020-06-26T07:40:00Z</dcterms:modified>
</cp:coreProperties>
</file>