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AB" w:rsidRPr="00C63CAB" w:rsidRDefault="00C63CAB" w:rsidP="00C63CAB">
      <w:pPr>
        <w:spacing w:after="0" w:line="240" w:lineRule="auto"/>
        <w:ind w:left="180" w:right="1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Приложение 1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участия в конференции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C63CA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Участие в конференции -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очное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63CA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Заявка на участие в конференции,   тезисы докладов и </w:t>
      </w:r>
      <w:proofErr w:type="gramStart"/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рекомендации</w:t>
      </w:r>
      <w:proofErr w:type="gramEnd"/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научных </w:t>
      </w:r>
      <w:proofErr w:type="spellStart"/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руководителей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принимаются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заполнения электронной формы, размещенной на сайте Юридического института ИГУ в разделе «Научная деятельность», посвященном конференции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 14 марта 2019 года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http://lawinstitut.ru/ru/science/actions/index.html</w:t>
      </w:r>
    </w:p>
    <w:p w:rsidR="00C63CAB" w:rsidRPr="00C63CAB" w:rsidRDefault="00C63CAB" w:rsidP="00C63CAB">
      <w:pPr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C63CA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Тезисы доклада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публикации в сборнике научных материалов должны быть оформлены в соответствии с  требованиями. (Приложение 2)</w:t>
      </w:r>
    </w:p>
    <w:p w:rsidR="00C63CAB" w:rsidRPr="00C63CAB" w:rsidRDefault="00C63CAB" w:rsidP="00C63CAB">
      <w:pPr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C63CA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Рекомендация научного руководителя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должна быть заверена в установленном порядке в формате 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 тезисов проводится на конкурсной основе. Оргкомитет оставляет за собой право отклонить представленные тезисы научного доклада в случае их несоответствия тематике конференции, отсутствия научности, несоблюдения требований к оформлению, наличия орфографических ошибок, нарушения сроков представления материалов.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Приложение 2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Требования к тезисам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Допускается не более двух соавторов.</w:t>
      </w:r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 тезисах, помимо основного текста, должны быть указаны следующие данные: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фамилия, имя, отчество автора (полностью), курс, место учебы;</w:t>
      </w:r>
      <w:proofErr w:type="gramEnd"/>
    </w:p>
    <w:p w:rsidR="00C63CAB" w:rsidRPr="00C63CAB" w:rsidRDefault="00C63CAB" w:rsidP="00C63CAB">
      <w:pPr>
        <w:shd w:val="clear" w:color="auto" w:fill="FFFFFF"/>
        <w:spacing w:before="300" w:after="27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фамилия, имя, отчество научного руководителя (полностью), научная степень, научное звание, должность, место работы в именительном падеже</w:t>
      </w:r>
      <w:proofErr w:type="gram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.</w:t>
      </w:r>
      <w:proofErr w:type="gram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 xml:space="preserve">- </w:t>
      </w:r>
      <w:proofErr w:type="gram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к</w:t>
      </w:r>
      <w:proofErr w:type="gram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лючевые слова (не более пяти);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код УДК.</w:t>
      </w:r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3CAB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  <w:t>Оформление тезисов должно соответствовать следующим требованиям: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объем текста статьи – до 5 страниц;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поля (зеркальные) – 2 см;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 xml:space="preserve">- шрифт – </w:t>
      </w:r>
      <w:proofErr w:type="spell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Times</w:t>
      </w:r>
      <w:proofErr w:type="spell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spell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New</w:t>
      </w:r>
      <w:proofErr w:type="spell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spell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Roman</w:t>
      </w:r>
      <w:proofErr w:type="spell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,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lastRenderedPageBreak/>
        <w:t>- кегль – 14;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межстрочный интервал – полуторный;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>- абзацный отступ – 1,25 см;</w:t>
      </w:r>
      <w:proofErr w:type="gramEnd"/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форматирование текста и сносок – по ширине странице;</w:t>
      </w:r>
    </w:p>
    <w:p w:rsidR="00C63CAB" w:rsidRPr="00C63CAB" w:rsidRDefault="00C63CAB" w:rsidP="00C63CAB">
      <w:pPr>
        <w:shd w:val="clear" w:color="auto" w:fill="FFFFFF"/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нумерация страниц проставляется внизу и в центре;</w:t>
      </w:r>
    </w:p>
    <w:p w:rsidR="00C63CAB" w:rsidRPr="00C63CAB" w:rsidRDefault="00C63CAB" w:rsidP="00C63CAB">
      <w:pPr>
        <w:shd w:val="clear" w:color="auto" w:fill="FFFFFF"/>
        <w:spacing w:before="300" w:after="27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заголовок оформляется 16 кеглем, жирным шрифтом и отделяется от текста одной строкой;</w:t>
      </w:r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br/>
        <w:t xml:space="preserve">- ссылки на литературу и источники оформляются по ГОСТ </w:t>
      </w:r>
      <w:proofErr w:type="gramStart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Р</w:t>
      </w:r>
      <w:proofErr w:type="gramEnd"/>
      <w:r w:rsidRPr="00C63CAB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7.0.5–2008;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Требования к оформлению ссылок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63CAB" w:rsidRPr="00C63CAB" w:rsidRDefault="00C63CAB" w:rsidP="00C63CAB">
      <w:pPr>
        <w:spacing w:after="0" w:line="240" w:lineRule="auto"/>
        <w:ind w:left="18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before="300" w:after="300" w:line="240" w:lineRule="auto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работе нужно использовать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затекстовые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библиографические ссылки. Они размещаются за текстом и  располагаются в том порядке, в каком упоминаются в тексте.  Для оформления ссылок  необходимо внутри текста указать номер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затекстовой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ссылки в квадратных скобках. Для всего текста тезисов и перечня библиографических ссылок используется сплошная нумерация. В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пристатейный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список включаются только те источники, на которые в тексте есть ссылки. Библиографические ссылки на цитируемые документы оформляются в соответствии с ГОСТом  </w:t>
      </w:r>
      <w:proofErr w:type="gram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7.05-2008.</w:t>
      </w:r>
    </w:p>
    <w:p w:rsidR="00C63CAB" w:rsidRPr="00C63CAB" w:rsidRDefault="00C63CAB" w:rsidP="00C63CAB">
      <w:pPr>
        <w:spacing w:after="0" w:line="240" w:lineRule="auto"/>
        <w:ind w:left="180" w:right="-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 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</w:t>
      </w:r>
    </w:p>
    <w:p w:rsidR="00C63CAB" w:rsidRPr="00C63CAB" w:rsidRDefault="00C63CAB" w:rsidP="00C63CAB">
      <w:pPr>
        <w:spacing w:before="300" w:after="300" w:line="240" w:lineRule="auto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  тексте: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пореформенной России середины XIX века несомненной являлась необходимость проведения судебных преобразований [1]. В результате проведения судебной реформы 1864 г. была создана самостоятельная и независимая судебная власть, а Россия вступила на путь превращения в конституционную монархию, «в этом была суть противоречия, которое породила судебная реформа» [2, с. 123].</w:t>
      </w:r>
    </w:p>
    <w:p w:rsidR="00C63CAB" w:rsidRPr="00C63CAB" w:rsidRDefault="00C63CAB" w:rsidP="00C63CAB">
      <w:pPr>
        <w:spacing w:before="300" w:after="300" w:line="240" w:lineRule="auto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В </w:t>
      </w:r>
      <w:proofErr w:type="spellStart"/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затекстовой</w:t>
      </w:r>
      <w:proofErr w:type="spellEnd"/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ссылке:</w:t>
      </w:r>
    </w:p>
    <w:p w:rsidR="00C63CAB" w:rsidRPr="00C63CAB" w:rsidRDefault="00C63CAB" w:rsidP="00C63CAB">
      <w:pPr>
        <w:spacing w:before="300" w:after="300" w:line="240" w:lineRule="auto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Василевский А. Отзывы русских газет и журналов о судебной реформе // Журн. Министерства Юстиции. 1863. № 4. С. 77-78.</w:t>
      </w:r>
    </w:p>
    <w:p w:rsidR="00C63CAB" w:rsidRPr="00C63CAB" w:rsidRDefault="00C63CAB" w:rsidP="00C63CAB">
      <w:pPr>
        <w:spacing w:before="300" w:after="300" w:line="240" w:lineRule="auto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Немытина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М.В. Суд в России вторая половина XIX - начало ХХ вв. Саратов, 1999. 132 с.</w:t>
      </w:r>
    </w:p>
    <w:p w:rsidR="00C63CAB" w:rsidRPr="00C63CAB" w:rsidRDefault="00C63CAB" w:rsidP="00C63CAB">
      <w:pPr>
        <w:spacing w:after="0" w:line="240" w:lineRule="auto"/>
        <w:ind w:left="180" w:right="1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after="0" w:line="240" w:lineRule="auto"/>
        <w:ind w:left="180" w:right="1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Пример оформления доклада</w:t>
      </w:r>
    </w:p>
    <w:p w:rsidR="00C63CAB" w:rsidRPr="00C63CAB" w:rsidRDefault="00C63CAB" w:rsidP="00C63CAB">
      <w:pPr>
        <w:spacing w:after="0" w:line="240" w:lineRule="auto"/>
        <w:ind w:left="180" w:right="1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before="300" w:after="300" w:line="360" w:lineRule="atLeast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УДК 34(063)</w:t>
      </w:r>
    </w:p>
    <w:p w:rsidR="00C63CAB" w:rsidRPr="00C63CAB" w:rsidRDefault="00C63CAB" w:rsidP="00C63CAB">
      <w:pPr>
        <w:spacing w:after="0" w:line="240" w:lineRule="auto"/>
        <w:ind w:left="180" w:right="1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Верховенство права, правовое государство и гражданское общество: соотношение понятий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Анна Петровна Холодова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 3 курса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Института ИГУ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Научный руководитель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Роман Владимирович Кравцов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зав. кафедрой уголовного права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института ИГУ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юридических наук, доцент</w:t>
      </w:r>
    </w:p>
    <w:p w:rsidR="00C63CAB" w:rsidRPr="00C63CAB" w:rsidRDefault="00C63CAB" w:rsidP="00C63CAB">
      <w:pPr>
        <w:spacing w:before="300" w:after="300" w:line="360" w:lineRule="atLeast"/>
        <w:ind w:left="180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верховенство права, правовое государство, гражданское общество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Первым крупным теоретиком доктрины верховенства права был оксфордский правовед  Альберт Венн 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Дайси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Он рассматривал верховенство права как ограничение (а не как полный контроль) теоретически неограниченной власти  государства в отношении индивидуума. По мнению 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Дайси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верховенство права имеет три основных черты: во-первых, никто не может быть наказан иначе, чем за нарушение закона, и при этом сам закон должен быть определенным и ориентированным на будущее. Во-вторых, ни один человек не должен быть выше закона и все классы общества должны подчиняться закону в равной степени. В-третьих, верховенство права должно проистекать не из какой-либо писаной Конституции, а из «прецедентного права» [1, с. 77].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Что означает понятие верховенство права? Помимо трудов ученых большую роль в определении понятия верховенство права сыграли принимаемые на международном уровне документы. В частности дать, </w:t>
      </w:r>
      <w:proofErr w:type="gram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обеспечиваемому</w:t>
      </w:r>
      <w:proofErr w:type="gram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независимыми и беспристрастными судами, в том числе судебное рассмотрение административных актов; 5) Соблюдение прав человека; 6) Отсутствие дискриминации и равенство перед законом [2, с. 12].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Обычно считается, что наличие двух этих аспектов в системе права государства как раз позволяет характеризовать такое государство как правовое [3].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Доклад «О Верховенстве права», утвержденный Венецианской комиссией на  86-й пленарной сессии (Венеция, 25–26 марта 2011 года). М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: 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proofErr w:type="gram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</w:t>
      </w:r>
      <w:proofErr w:type="gram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., 2011. 120 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2. Tom Bingham </w:t>
      </w:r>
      <w:proofErr w:type="gram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</w:t>
      </w:r>
      <w:proofErr w:type="gram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Rule of Law. </w:t>
      </w:r>
      <w:proofErr w:type="spellStart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Penguin</w:t>
      </w:r>
      <w:proofErr w:type="spellEnd"/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2010. 210 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</w:t>
      </w: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3CAB" w:rsidRPr="00C63CAB" w:rsidRDefault="00C63CAB" w:rsidP="00C63CAB">
      <w:pPr>
        <w:spacing w:before="300" w:after="300" w:line="360" w:lineRule="atLeast"/>
        <w:ind w:left="180"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Антонов М. В. К вопросу о содержании понятия «Правовое государство» // Вопросы экономики и права. 2010. № 1. С. 18-23.</w:t>
      </w:r>
    </w:p>
    <w:p w:rsidR="00EF5AD5" w:rsidRDefault="00EF5AD5">
      <w:bookmarkStart w:id="0" w:name="_GoBack"/>
      <w:bookmarkEnd w:id="0"/>
    </w:p>
    <w:sectPr w:rsidR="00E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9"/>
    <w:rsid w:val="00262D11"/>
    <w:rsid w:val="002A1D00"/>
    <w:rsid w:val="003B00E8"/>
    <w:rsid w:val="00441422"/>
    <w:rsid w:val="004D221C"/>
    <w:rsid w:val="004F60BB"/>
    <w:rsid w:val="005C4DD9"/>
    <w:rsid w:val="005C6A48"/>
    <w:rsid w:val="00C63CAB"/>
    <w:rsid w:val="00D3774F"/>
    <w:rsid w:val="00EB7972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C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63CAB"/>
    <w:rPr>
      <w:i/>
      <w:iCs/>
    </w:rPr>
  </w:style>
  <w:style w:type="paragraph" w:customStyle="1" w:styleId="nospacing">
    <w:name w:val="nospacing"/>
    <w:basedOn w:val="a"/>
    <w:rsid w:val="00C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C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63CAB"/>
    <w:rPr>
      <w:i/>
      <w:iCs/>
    </w:rPr>
  </w:style>
  <w:style w:type="paragraph" w:customStyle="1" w:styleId="nospacing">
    <w:name w:val="nospacing"/>
    <w:basedOn w:val="a"/>
    <w:rsid w:val="00C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2019-02-20T18:04:00Z</dcterms:created>
  <dcterms:modified xsi:type="dcterms:W3CDTF">2019-02-20T18:04:00Z</dcterms:modified>
</cp:coreProperties>
</file>