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1" w:lineRule="auto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XI Международная научно-практическая конференция </w:t>
      </w:r>
    </w:p>
    <w:p w:rsidR="00000000" w:rsidDel="00000000" w:rsidP="00000000" w:rsidRDefault="00000000" w:rsidRPr="00000000" w14:paraId="00000002">
      <w:pPr>
        <w:spacing w:line="27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«Программная инженерия и компьютерная техника» (Майоровские чтения)</w:t>
      </w:r>
    </w:p>
    <w:p w:rsidR="00000000" w:rsidDel="00000000" w:rsidP="00000000" w:rsidRDefault="00000000" w:rsidRPr="00000000" w14:paraId="00000003">
      <w:pPr>
        <w:spacing w:before="240" w:line="271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Majorov International Conference on Software Engineering and Computer Systems (MICSECS-2019)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Информационное письмо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Приглашаем Вас принять участие в XI Международной научно-практической конференции «Программная инженерия и компьютерная техника» (Майоровские чтения) (The Majorov International Conference on Software Engineering and Computer Systems, MICSECS-2019).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Мероприятие организуется Университетом ИТМО, пройдет 12 и 13 декабря 2019 года в пространстве «Точка кипения» по адресу г. Санкт-Петербург, пр. Медиков, д. 3, стр. А. </w:t>
      </w:r>
    </w:p>
    <w:p w:rsidR="00000000" w:rsidDel="00000000" w:rsidP="00000000" w:rsidRDefault="00000000" w:rsidRPr="00000000" w14:paraId="0000000C">
      <w:pPr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ОПИСАНИЕ 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Конференция посвящена актуальным проблемам развития программной инженерии, вычислительной техники и кибер-физических систем, технологий мультимедиа, виртуальной дополненной и смешанной реальности.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участию приглашаются студенты и аспиранты, сотрудники вузов и предприятий, занятые в научно-исследовательской и проектной деятельности.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конференции организована по секциям: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Компьютерные системы и сети (Computer Systems and Networks)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Кибер-физические системы (Cyber-Physical Systems)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Программная инженерия (Software Engineering)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Компьютерная графика и мультимедиа (Computer graphics and multimedia)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Технологии виртуальной, дополненной и смешанной реальности (AR/VR/MR technologies)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конференции включает: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Доклады приглашенных спикеров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Выступления участников на секциях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Постерную сессию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Интерактивные demo-зоны с представлением разработок участников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ПРЕИМУЩЕСТВА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Бесплатное участие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Публикация докладов в CEUR (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http://ceur-ws.org</w:t>
        </w:r>
      </w:hyperlink>
      <w:r w:rsidDel="00000000" w:rsidR="00000000" w:rsidRPr="00000000">
        <w:rPr>
          <w:sz w:val="24"/>
          <w:szCs w:val="24"/>
          <w:rtl w:val="0"/>
        </w:rPr>
        <w:t xml:space="preserve">) с индексированием в базах DBLP и Scopus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Лучшие доклады будут награждены ценными призами</w:t>
      </w:r>
    </w:p>
    <w:p w:rsidR="00000000" w:rsidDel="00000000" w:rsidP="00000000" w:rsidRDefault="00000000" w:rsidRPr="00000000" w14:paraId="0000001E">
      <w:pPr>
        <w:ind w:left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УСЛОВИЯ УЧАСТИЯ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Развернутые тезисы докладов (4-6 стр. в формате LNCS) подаются на английском языке через систему EasyChair. Все тезисы проходят рецензирование. </w:t>
      </w:r>
    </w:p>
    <w:p w:rsidR="00000000" w:rsidDel="00000000" w:rsidP="00000000" w:rsidRDefault="00000000" w:rsidRPr="00000000" w14:paraId="00000021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отобранные тезисы будут опубликованы в сборнике трудов конференции с индексацией в РИНЦ, а авторы приглашаются к участию в конференции со стендовым докладом.</w:t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Авторам тезисов, получивших максимальные оценки по результатам рецензирования, рекомендованных программным комитетом к включению в программу секционных докладов и представивших свои работы очно на конференции, будет предложено подготовить полноформатные статьи (12 стр. в формате LNCS) для публикации в сборнике CEUR-WS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http://ceur-ws.org/ </w:t>
        </w:r>
      </w:hyperlink>
      <w:r w:rsidDel="00000000" w:rsidR="00000000" w:rsidRPr="00000000">
        <w:rPr>
          <w:sz w:val="24"/>
          <w:szCs w:val="24"/>
          <w:rtl w:val="0"/>
        </w:rPr>
        <w:t xml:space="preserve">), индексируемом в базах </w:t>
      </w:r>
      <w:r w:rsidDel="00000000" w:rsidR="00000000" w:rsidRPr="00000000">
        <w:rPr>
          <w:b w:val="1"/>
          <w:sz w:val="24"/>
          <w:szCs w:val="24"/>
          <w:rtl w:val="0"/>
        </w:rPr>
        <w:t xml:space="preserve">DBLP </w:t>
      </w:r>
      <w:r w:rsidDel="00000000" w:rsidR="00000000" w:rsidRPr="00000000">
        <w:rPr>
          <w:sz w:val="24"/>
          <w:szCs w:val="24"/>
          <w:rtl w:val="0"/>
        </w:rPr>
        <w:t xml:space="preserve">и </w:t>
      </w:r>
      <w:r w:rsidDel="00000000" w:rsidR="00000000" w:rsidRPr="00000000">
        <w:rPr>
          <w:b w:val="1"/>
          <w:sz w:val="24"/>
          <w:szCs w:val="24"/>
          <w:rtl w:val="0"/>
        </w:rPr>
        <w:t xml:space="preserve">Scopus.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представления работ в demo-зоне необходимо написать письмо с кратким описанием проекта на почту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mr@itmo.ru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Подробные инструкции и форматы документов размещены на сайте конференции по адресу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http://micsecs.org/registration.html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ОСНОВНЫЕ ДАТЫ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Окончание приема тезисов на секционные и постерные доклады: </w:t>
      </w:r>
      <w:r w:rsidDel="00000000" w:rsidR="00000000" w:rsidRPr="00000000">
        <w:rPr>
          <w:b w:val="1"/>
          <w:sz w:val="24"/>
          <w:szCs w:val="24"/>
          <w:rtl w:val="0"/>
        </w:rPr>
        <w:t xml:space="preserve">3 ноября 2019 в 23:59 по Московскому времени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Рецензирование тезисов и оповещение участников: </w:t>
      </w:r>
      <w:r w:rsidDel="00000000" w:rsidR="00000000" w:rsidRPr="00000000">
        <w:rPr>
          <w:b w:val="1"/>
          <w:sz w:val="24"/>
          <w:szCs w:val="24"/>
          <w:rtl w:val="0"/>
        </w:rPr>
        <w:t xml:space="preserve">2 декабря 2019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Публикация программы конференции: </w:t>
      </w:r>
      <w:r w:rsidDel="00000000" w:rsidR="00000000" w:rsidRPr="00000000">
        <w:rPr>
          <w:b w:val="1"/>
          <w:sz w:val="24"/>
          <w:szCs w:val="24"/>
          <w:rtl w:val="0"/>
        </w:rPr>
        <w:t xml:space="preserve">2 декабря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Окончание приема заявок проектов в demo-зону: </w:t>
      </w:r>
      <w:r w:rsidDel="00000000" w:rsidR="00000000" w:rsidRPr="00000000">
        <w:rPr>
          <w:b w:val="1"/>
          <w:sz w:val="24"/>
          <w:szCs w:val="24"/>
          <w:rtl w:val="0"/>
        </w:rPr>
        <w:t xml:space="preserve">24 ноября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ОРГАНИЗАТОРЫ</w:t>
      </w:r>
    </w:p>
    <w:p w:rsidR="00000000" w:rsidDel="00000000" w:rsidP="00000000" w:rsidRDefault="00000000" w:rsidRPr="00000000" w14:paraId="0000002B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Университет ИТМО (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www.itmo.ru</w:t>
        </w:r>
      </w:hyperlink>
      <w:r w:rsidDel="00000000" w:rsidR="00000000" w:rsidRPr="00000000">
        <w:rPr>
          <w:sz w:val="24"/>
          <w:szCs w:val="24"/>
          <w:rtl w:val="0"/>
        </w:rPr>
        <w:t xml:space="preserve">), </w:t>
      </w:r>
    </w:p>
    <w:p w:rsidR="00000000" w:rsidDel="00000000" w:rsidP="00000000" w:rsidRDefault="00000000" w:rsidRPr="00000000" w14:paraId="0000002C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Факультет Программной инженерии и компьютерной техники (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https://scs.ifmo.ru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D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Центр Юзабилити и Смешанной реальности (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https://uxr.itmo.ru/ru/</w:t>
        </w:r>
      </w:hyperlink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E">
      <w:pPr>
        <w:spacing w:after="12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КОНТАКТЫ: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mr@itmo.ru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САЙТ МЕРОПРИЯТИЯ</w:t>
      </w:r>
    </w:p>
    <w:p w:rsidR="00000000" w:rsidDel="00000000" w:rsidP="00000000" w:rsidRDefault="00000000" w:rsidRPr="00000000" w14:paraId="00000032">
      <w:pPr>
        <w:spacing w:after="120" w:lineRule="auto"/>
        <w:jc w:val="both"/>
        <w:rPr>
          <w:color w:val="1155cc"/>
          <w:sz w:val="24"/>
          <w:szCs w:val="24"/>
          <w:u w:val="single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http://micsecs.org/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ЯЗЫК МЕРОПРИЯТИЯ: </w:t>
      </w:r>
      <w:r w:rsidDel="00000000" w:rsidR="00000000" w:rsidRPr="00000000">
        <w:rPr>
          <w:sz w:val="24"/>
          <w:szCs w:val="24"/>
          <w:rtl w:val="0"/>
        </w:rPr>
        <w:t xml:space="preserve">русский, английский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СТАТУС: </w:t>
      </w:r>
      <w:r w:rsidDel="00000000" w:rsidR="00000000" w:rsidRPr="00000000">
        <w:rPr>
          <w:sz w:val="24"/>
          <w:szCs w:val="24"/>
          <w:rtl w:val="0"/>
        </w:rPr>
        <w:t xml:space="preserve">МЕЖДУНАРОДНЫЙ</w:t>
      </w:r>
    </w:p>
    <w:sectPr>
      <w:pgSz w:h="16834" w:w="11909"/>
      <w:pgMar w:bottom="993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cs.ifmo.ru" TargetMode="External"/><Relationship Id="rId10" Type="http://schemas.openxmlformats.org/officeDocument/2006/relationships/hyperlink" Target="http://www.itmo.ru" TargetMode="External"/><Relationship Id="rId13" Type="http://schemas.openxmlformats.org/officeDocument/2006/relationships/hyperlink" Target="mailto:mr@itmo.ru" TargetMode="External"/><Relationship Id="rId12" Type="http://schemas.openxmlformats.org/officeDocument/2006/relationships/hyperlink" Target="https://uxr.itmo.ru/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icsecs.org/registration.html" TargetMode="External"/><Relationship Id="rId14" Type="http://schemas.openxmlformats.org/officeDocument/2006/relationships/hyperlink" Target="http://micsecs.org/" TargetMode="External"/><Relationship Id="rId5" Type="http://schemas.openxmlformats.org/officeDocument/2006/relationships/styles" Target="styles.xml"/><Relationship Id="rId6" Type="http://schemas.openxmlformats.org/officeDocument/2006/relationships/hyperlink" Target="http://ceur-ws.org" TargetMode="External"/><Relationship Id="rId7" Type="http://schemas.openxmlformats.org/officeDocument/2006/relationships/hyperlink" Target="http://ceur-ws.org/Vol-2344/" TargetMode="External"/><Relationship Id="rId8" Type="http://schemas.openxmlformats.org/officeDocument/2006/relationships/hyperlink" Target="mailto:mr@itm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